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20" w:lineRule="auto"/>
        <w:jc w:val="center"/>
        <w:rPr>
          <w:rFonts w:hint="eastAsia" w:ascii="宋体" w:hAnsi="宋体" w:eastAsia="宋体"/>
          <w:spacing w:val="40"/>
          <w:sz w:val="18"/>
          <w:szCs w:val="18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 w:val="18"/>
          <w:szCs w:val="18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 w:val="18"/>
          <w:szCs w:val="18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b/>
          <w:spacing w:val="40"/>
          <w:sz w:val="48"/>
          <w:szCs w:val="48"/>
        </w:rPr>
      </w:pPr>
      <w:r>
        <w:rPr>
          <w:rFonts w:hint="eastAsia" w:ascii="宋体" w:hAnsi="宋体" w:eastAsia="宋体"/>
          <w:b/>
          <w:spacing w:val="40"/>
          <w:sz w:val="48"/>
          <w:szCs w:val="48"/>
        </w:rPr>
        <w:t>中国轻工业联合会</w:t>
      </w:r>
    </w:p>
    <w:p>
      <w:pPr>
        <w:spacing w:beforeLines="50" w:afterLines="50" w:line="20" w:lineRule="auto"/>
        <w:jc w:val="center"/>
        <w:rPr>
          <w:rFonts w:ascii="宋体" w:hAnsi="宋体" w:eastAsia="宋体"/>
          <w:b/>
          <w:spacing w:val="40"/>
          <w:sz w:val="48"/>
          <w:szCs w:val="48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 w:val="48"/>
          <w:szCs w:val="48"/>
        </w:rPr>
      </w:pPr>
      <w:r>
        <w:rPr>
          <w:rFonts w:hint="eastAsia" w:ascii="宋体" w:hAnsi="宋体" w:eastAsia="宋体"/>
          <w:b/>
          <w:spacing w:val="40"/>
          <w:sz w:val="48"/>
          <w:szCs w:val="48"/>
        </w:rPr>
        <w:t>2013年四季度轻工行业标准制修订计划</w:t>
      </w:r>
    </w:p>
    <w:p>
      <w:pPr>
        <w:spacing w:beforeLines="50" w:afterLines="50" w:line="20" w:lineRule="auto"/>
        <w:jc w:val="center"/>
        <w:rPr>
          <w:rFonts w:ascii="宋体" w:hAnsi="宋体" w:eastAsia="宋体"/>
          <w:b/>
          <w:spacing w:val="40"/>
          <w:sz w:val="32"/>
          <w:szCs w:val="32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b/>
          <w:spacing w:val="40"/>
          <w:sz w:val="32"/>
          <w:szCs w:val="32"/>
        </w:rPr>
      </w:pPr>
      <w:r>
        <w:rPr>
          <w:rFonts w:hint="eastAsia" w:ascii="宋体" w:hAnsi="宋体" w:eastAsia="宋体"/>
          <w:b/>
          <w:spacing w:val="40"/>
          <w:sz w:val="32"/>
          <w:szCs w:val="32"/>
        </w:rPr>
        <w:t>（征求意见稿）</w:t>
      </w: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 w:val="18"/>
          <w:szCs w:val="18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Cs w:val="30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Cs w:val="30"/>
        </w:rPr>
      </w:pPr>
    </w:p>
    <w:p>
      <w:pPr>
        <w:spacing w:beforeLines="50" w:afterLines="50" w:line="20" w:lineRule="auto"/>
        <w:jc w:val="center"/>
        <w:rPr>
          <w:rFonts w:ascii="宋体" w:hAnsi="宋体" w:eastAsia="宋体"/>
          <w:spacing w:val="40"/>
          <w:szCs w:val="30"/>
        </w:rPr>
      </w:pPr>
    </w:p>
    <w:p>
      <w:pPr>
        <w:spacing w:before="156" w:after="156" w:line="20" w:lineRule="auto"/>
        <w:jc w:val="center"/>
        <w:rPr>
          <w:rFonts w:ascii="宋体" w:hAnsi="宋体" w:eastAsia="宋体"/>
          <w:spacing w:val="40"/>
          <w:sz w:val="32"/>
          <w:szCs w:val="32"/>
        </w:rPr>
      </w:pPr>
      <w:r>
        <w:rPr>
          <w:rFonts w:hint="eastAsia" w:ascii="宋体" w:hAnsi="宋体" w:eastAsia="宋体"/>
          <w:spacing w:val="40"/>
          <w:sz w:val="32"/>
          <w:szCs w:val="32"/>
        </w:rPr>
        <w:t>中国轻工业联合会质量标准部</w:t>
      </w:r>
      <w:bookmarkStart w:id="1" w:name="_GoBack"/>
      <w:bookmarkEnd w:id="1"/>
    </w:p>
    <w:p>
      <w:pPr>
        <w:spacing w:before="156" w:after="156" w:line="20" w:lineRule="auto"/>
        <w:jc w:val="center"/>
        <w:rPr>
          <w:rFonts w:ascii="宋体" w:hAnsi="宋体" w:eastAsia="宋体"/>
          <w:spacing w:val="40"/>
          <w:sz w:val="32"/>
          <w:szCs w:val="32"/>
        </w:rPr>
      </w:pPr>
      <w:r>
        <w:rPr>
          <w:rFonts w:hint="eastAsia" w:ascii="宋体" w:hAnsi="宋体" w:eastAsia="宋体"/>
          <w:spacing w:val="40"/>
          <w:sz w:val="32"/>
          <w:szCs w:val="32"/>
        </w:rPr>
        <w:t>二○一三年</w:t>
      </w:r>
      <w:r>
        <w:rPr>
          <w:rFonts w:hint="eastAsia" w:ascii="宋体" w:hAnsi="宋体" w:eastAsia="宋体"/>
          <w:spacing w:val="40"/>
          <w:sz w:val="32"/>
          <w:szCs w:val="32"/>
          <w:lang w:eastAsia="zh-CN"/>
        </w:rPr>
        <w:t>九</w:t>
      </w:r>
      <w:r>
        <w:rPr>
          <w:rFonts w:hint="eastAsia" w:ascii="宋体" w:hAnsi="宋体" w:eastAsia="宋体"/>
          <w:spacing w:val="40"/>
          <w:sz w:val="32"/>
          <w:szCs w:val="32"/>
        </w:rPr>
        <w:t>月</w:t>
      </w:r>
    </w:p>
    <w:p>
      <w:pPr>
        <w:spacing w:line="20" w:lineRule="auto"/>
        <w:jc w:val="center"/>
        <w:rPr>
          <w:rFonts w:hint="eastAsia" w:ascii="宋体" w:hAnsi="宋体" w:eastAsia="宋体"/>
          <w:spacing w:val="40"/>
          <w:sz w:val="18"/>
          <w:szCs w:val="18"/>
        </w:rPr>
      </w:pPr>
      <w:r>
        <w:rPr>
          <w:rFonts w:ascii="宋体" w:hAnsi="宋体" w:eastAsia="宋体"/>
          <w:spacing w:val="40"/>
          <w:sz w:val="18"/>
          <w:szCs w:val="18"/>
        </w:rPr>
        <w:br w:type="page"/>
      </w:r>
    </w:p>
    <w:p>
      <w:pPr>
        <w:spacing w:line="20" w:lineRule="auto"/>
        <w:jc w:val="center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2013年三季度轻工行业标准制修订计划汇总表</w:t>
      </w:r>
      <w:bookmarkStart w:id="0" w:name="A1"/>
      <w:bookmarkEnd w:id="0"/>
    </w:p>
    <w:p>
      <w:pPr>
        <w:spacing w:line="20" w:lineRule="auto"/>
        <w:jc w:val="center"/>
        <w:rPr>
          <w:rFonts w:ascii="宋体" w:hAnsi="宋体" w:eastAsia="宋体"/>
          <w:sz w:val="18"/>
          <w:szCs w:val="18"/>
        </w:rPr>
      </w:pP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329"/>
        <w:gridCol w:w="672"/>
        <w:gridCol w:w="819"/>
        <w:gridCol w:w="666"/>
        <w:gridCol w:w="556"/>
        <w:gridCol w:w="556"/>
        <w:gridCol w:w="558"/>
        <w:gridCol w:w="556"/>
        <w:gridCol w:w="558"/>
        <w:gridCol w:w="791"/>
        <w:gridCol w:w="791"/>
        <w:gridCol w:w="791"/>
        <w:gridCol w:w="791"/>
        <w:gridCol w:w="791"/>
        <w:gridCol w:w="862"/>
        <w:gridCol w:w="553"/>
      </w:tblGrid>
      <w:tr>
        <w:trPr>
          <w:cantSplit/>
          <w:trHeight w:val="312" w:hRule="atLeast"/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4001" w:type="dxa"/>
            <w:gridSpan w:val="2"/>
            <w:vMerge w:val="restart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标委会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行业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合计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性质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制修订</w:t>
            </w:r>
          </w:p>
        </w:tc>
        <w:tc>
          <w:tcPr>
            <w:tcW w:w="3955" w:type="dxa"/>
            <w:gridSpan w:val="5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标准类别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采用国际和国外先进标准数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重点项目</w:t>
            </w:r>
          </w:p>
        </w:tc>
      </w:tr>
      <w:tr>
        <w:trPr>
          <w:cantSplit/>
          <w:trHeight w:val="312" w:hRule="atLeast"/>
          <w:tblHeader/>
        </w:trPr>
        <w:tc>
          <w:tcPr>
            <w:tcW w:w="534" w:type="dxa"/>
            <w:vMerge w:val="continue"/>
            <w:vAlign w:val="top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 w:val="continue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强制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推荐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指导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修订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节能与综合利用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工程建设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安全生产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产品类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标准样品</w:t>
            </w: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cantSplit/>
        </w:trPr>
        <w:tc>
          <w:tcPr>
            <w:tcW w:w="534" w:type="dxa"/>
            <w:vMerge w:val="continue"/>
            <w:vAlign w:val="top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329" w:type="dxa"/>
            <w:vAlign w:val="top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合计</w:t>
            </w:r>
          </w:p>
        </w:tc>
        <w:tc>
          <w:tcPr>
            <w:tcW w:w="819" w:type="dxa"/>
            <w:vAlign w:val="top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3" w:type="dxa"/>
            <w:vAlign w:val="center"/>
          </w:tcPr>
          <w:p>
            <w:pPr>
              <w:spacing w:line="20" w:lineRule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</w:t>
            </w:r>
          </w:p>
        </w:tc>
      </w:tr>
      <w:tr>
        <w:trPr>
          <w:cantSplit/>
        </w:trPr>
        <w:tc>
          <w:tcPr>
            <w:tcW w:w="534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全国五金制品标准化技术委员会建筑五金分技术委员会</w:t>
            </w:r>
          </w:p>
        </w:tc>
        <w:tc>
          <w:tcPr>
            <w:tcW w:w="672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建筑五金</w:t>
            </w:r>
          </w:p>
        </w:tc>
        <w:tc>
          <w:tcPr>
            <w:tcW w:w="66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  <w:tc>
          <w:tcPr>
            <w:tcW w:w="553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rPr>
          <w:cantSplit/>
        </w:trPr>
        <w:tc>
          <w:tcPr>
            <w:tcW w:w="534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672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造纸</w:t>
            </w:r>
          </w:p>
        </w:tc>
        <w:tc>
          <w:tcPr>
            <w:tcW w:w="66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cantSplit/>
        </w:trPr>
        <w:tc>
          <w:tcPr>
            <w:tcW w:w="534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全国电池材料标准化技术委员会</w:t>
            </w:r>
          </w:p>
        </w:tc>
        <w:tc>
          <w:tcPr>
            <w:tcW w:w="672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电池材料</w:t>
            </w:r>
          </w:p>
        </w:tc>
        <w:tc>
          <w:tcPr>
            <w:tcW w:w="66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cantSplit/>
        </w:trPr>
        <w:tc>
          <w:tcPr>
            <w:tcW w:w="534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line="20" w:lineRule="auto"/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3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全国五金制品标准化技术委员会厨卫五金技术分技术委员会</w:t>
            </w:r>
          </w:p>
        </w:tc>
        <w:tc>
          <w:tcPr>
            <w:tcW w:w="67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厨卫五金</w:t>
            </w:r>
          </w:p>
        </w:tc>
        <w:tc>
          <w:tcPr>
            <w:tcW w:w="66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8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spacing w:line="2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ind w:left="-224" w:leftChars="-188" w:hanging="340" w:hangingChars="188"/>
        <w:jc w:val="center"/>
        <w:rPr>
          <w:rFonts w:ascii="宋体" w:hAnsi="宋体" w:eastAsia="宋体"/>
          <w:b/>
          <w:sz w:val="18"/>
          <w:szCs w:val="18"/>
        </w:rPr>
      </w:pPr>
    </w:p>
    <w:p>
      <w:pPr>
        <w:ind w:left="-224" w:leftChars="-188" w:hanging="340" w:hangingChars="188"/>
        <w:jc w:val="center"/>
        <w:rPr>
          <w:rFonts w:ascii="宋体" w:hAnsi="宋体" w:eastAsia="宋体"/>
          <w:b/>
          <w:sz w:val="18"/>
          <w:szCs w:val="18"/>
        </w:rPr>
      </w:pPr>
    </w:p>
    <w:p>
      <w:pPr>
        <w:ind w:left="-224" w:leftChars="-188" w:hanging="340" w:hangingChars="188"/>
        <w:jc w:val="center"/>
        <w:rPr>
          <w:rFonts w:ascii="宋体" w:hAnsi="宋体" w:eastAsia="宋体"/>
          <w:b/>
          <w:sz w:val="18"/>
          <w:szCs w:val="18"/>
        </w:rPr>
      </w:pPr>
    </w:p>
    <w:p>
      <w:pPr>
        <w:ind w:left="-224" w:leftChars="-188" w:hanging="340" w:hangingChars="188"/>
        <w:jc w:val="center"/>
        <w:rPr>
          <w:rFonts w:ascii="宋体" w:hAnsi="宋体" w:eastAsia="宋体"/>
          <w:b/>
          <w:sz w:val="18"/>
          <w:szCs w:val="18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rPr>
          <w:rFonts w:ascii="宋体" w:hAnsi="宋体" w:eastAsia="宋体"/>
          <w:b/>
          <w:sz w:val="21"/>
          <w:szCs w:val="21"/>
        </w:rPr>
      </w:pPr>
    </w:p>
    <w:p>
      <w:pPr>
        <w:ind w:left="-168" w:leftChars="-188" w:hanging="396" w:hangingChars="188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2013年三季度轻工行业标准项目计划汇总表</w:t>
      </w:r>
    </w:p>
    <w:p>
      <w:pPr>
        <w:ind w:left="-224" w:leftChars="-188" w:hanging="340" w:hangingChars="188"/>
        <w:jc w:val="center"/>
        <w:rPr>
          <w:rFonts w:ascii="宋体" w:hAnsi="宋体" w:eastAsia="宋体"/>
          <w:b/>
          <w:sz w:val="18"/>
          <w:szCs w:val="18"/>
        </w:rPr>
      </w:pPr>
    </w:p>
    <w:tbl>
      <w:tblPr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425"/>
        <w:gridCol w:w="701"/>
        <w:gridCol w:w="701"/>
        <w:gridCol w:w="701"/>
        <w:gridCol w:w="701"/>
        <w:gridCol w:w="2181"/>
        <w:gridCol w:w="1701"/>
        <w:gridCol w:w="1701"/>
        <w:gridCol w:w="1275"/>
        <w:gridCol w:w="1276"/>
      </w:tblGrid>
      <w:tr>
        <w:trPr>
          <w:trHeight w:val="1191" w:hRule="atLeast"/>
          <w:tblHeader/>
        </w:trPr>
        <w:tc>
          <w:tcPr>
            <w:tcW w:w="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标准项目名称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标准性质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标准类别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制修订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完成年限</w:t>
            </w:r>
          </w:p>
        </w:tc>
        <w:tc>
          <w:tcPr>
            <w:tcW w:w="2181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标准化技术组织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主要起草单位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采用国际标准或国外先进标准程度及标准号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代替标准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是否重点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水暖管道配件  铜管路快速卡压管件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2014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全国五金制品标准化技术委员会建筑五金分技术委员会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宁波永享铜管道有限公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温控水嘴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修订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2014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全国五金制品标准化技术委员会建筑五金分技术委员会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珠海市舒丽玛温控卫浴设备有限公司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NEQ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ASSE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1016-2011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QB 2806-2006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卫生间附属配件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修订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2014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全国五金制品标准化技术委员会建筑五金分技术委员会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温州泓升集团有限公司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IGC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186-2004A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QB/T 1560-2006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淋浴房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修订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2014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全国五金制品标准化技术委员会建筑五金分技术委员会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阿波罗（中国）有限公司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NEQ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EN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15200-2007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QB 2584-200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喷水按摩浴缸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修订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2014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全国五金制品标准化技术委员会建筑五金分技术委员会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欧路莎股份有限公司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NEQ  BS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EN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12764-2004+</w:t>
            </w:r>
            <w:r>
              <w:rPr>
                <w:rFonts w:hint="eastAsia" w:ascii="宋体" w:hAnsi="宋体" w:eastAsia="宋体"/>
                <w:sz w:val="18"/>
                <w:szCs w:val="18"/>
              </w:rPr>
              <w:br/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QB 2585-2007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热升华转印纸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2014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中国制浆造纸研究院、苏州市全佳涂布制品有限公司等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是</w:t>
            </w: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咖啡滤纸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中国制浆造纸研究院、逐昌县兴昌纸业有限公司等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锂离子用高纯硫酸锰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全国电池材料标准化技术委员会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轻工业化学电源研究所，国家化学电源产品质量监督检验中心，湖南汇通科技有限责任公司，苏州市产品质量监督检验所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电动自行车用锂离子电池专用磷酸铁锂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全国电池材料标准化技术委员会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轻工业化学电源研究所，国家化学电源产品质量监督检验中心，无锡晶石新型能源有限公司，中国科学院物理研究所，湖南瑞翔新材料股份有限公司，先进储能材料国家工程研究中心有限责任公司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锂离子电池用电解铜箔通用技术规范及检测方法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全国电池材料标准化技术委员会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轻工业化学电源研究所，国家化学电源产品质量监督检验中心，咸阳瑞德电子技术有限公司，联合铜箔（惠州）有限公司，苏州市产品质量监督检验所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3437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电动自行车用锂离子电池专用镍钴锰酸锂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全国电池材料标准化技术委员会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轻工业化学电源研究所，国家化学电源产品质量监督检验中心，无锡晶石新型能源有限公司，中国科学院物理研究所，湖南瑞翔新材料股份有限公司，先进储能材料国家工程研究中心有限责任公司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卫浴梳洗台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全国五金制品标准化技术委员会厨卫五金分技术委员会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九牧厨卫股份有限公司、中国五金制品协会、福建省产品质量检验研究院、松霖卫厨有限公司、优达（中国）有限公司、菲时特集团等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是</w:t>
            </w:r>
          </w:p>
        </w:tc>
      </w:tr>
      <w:tr>
        <w:trPr>
          <w:trHeight w:val="510" w:hRule="atLeast"/>
        </w:trPr>
        <w:tc>
          <w:tcPr>
            <w:tcW w:w="671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与饮用水接触水嘴零件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铅含量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推荐性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产品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制定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2015</w:t>
            </w: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全国五金制品标准化技术委员会厨卫五金分技术委员会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路达（厦门）工业有限公司、中国五金制品协会、九牧厨卫股份有限公司、申鹭达集团、辉煌水暖集团、松霖卫厨有限公司、菲时特集团等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NSF/ANSI 372-2011,IDT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是</w:t>
            </w:r>
          </w:p>
        </w:tc>
      </w:tr>
    </w:tbl>
    <w:p>
      <w:pPr>
        <w:ind w:firstLine="360" w:firstLineChars="200"/>
        <w:rPr>
          <w:rFonts w:ascii="宋体" w:hAnsi="宋体" w:eastAsia="宋体"/>
          <w:sz w:val="18"/>
          <w:szCs w:val="18"/>
        </w:rPr>
      </w:pPr>
    </w:p>
    <w:sectPr>
      <w:pgSz w:w="16838" w:h="11906" w:orient="landscape"/>
      <w:pgMar w:top="993" w:right="1440" w:bottom="1134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multilevel"/>
    <w:tmpl w:val="0000000B"/>
    <w:lvl w:ilvl="0" w:tentative="1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仿宋_GB2312"/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仿宋_GB2312"/>
      <w:kern w:val="2"/>
      <w:sz w:val="18"/>
      <w:szCs w:val="18"/>
    </w:rPr>
  </w:style>
  <w:style w:type="paragraph" w:customStyle="1" w:styleId="7">
    <w:name w:val="批注框文本 Char Char"/>
    <w:basedOn w:val="1"/>
    <w:link w:val="16"/>
    <w:rPr>
      <w:rFonts w:ascii="Times New Roman" w:hAnsi="Times New Roman" w:eastAsia="仿宋_GB2312"/>
      <w:kern w:val="2"/>
      <w:sz w:val="18"/>
      <w:szCs w:val="18"/>
    </w:rPr>
  </w:style>
  <w:style w:type="paragraph" w:customStyle="1" w:styleId="8">
    <w:name w:val="无间隔1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</w:rPr>
  </w:style>
  <w:style w:type="paragraph" w:customStyle="1" w:styleId="9">
    <w:name w:val="Char Char Char1 Char"/>
    <w:basedOn w:val="1"/>
    <w:rPr>
      <w:rFonts w:eastAsia="宋体"/>
      <w:sz w:val="21"/>
      <w:szCs w:val="20"/>
    </w:rPr>
  </w:style>
  <w:style w:type="paragraph" w:customStyle="1" w:styleId="10">
    <w:name w:val="段"/>
    <w:pPr>
      <w:autoSpaceDE w:val="0"/>
      <w:autoSpaceDN w:val="0"/>
      <w:ind w:firstLine="200" w:firstLineChars="200"/>
      <w:jc w:val="both"/>
    </w:pPr>
    <w:rPr>
      <w:rFonts w:ascii="宋体" w:hAnsi="Times New Roman"/>
      <w:sz w:val="21"/>
    </w:rPr>
  </w:style>
  <w:style w:type="paragraph" w:customStyle="1" w:styleId="11">
    <w:name w:val="列出段落1"/>
    <w:basedOn w:val="1"/>
    <w:pPr>
      <w:ind w:firstLine="420" w:firstLineChars="200"/>
    </w:pPr>
  </w:style>
  <w:style w:type="paragraph" w:customStyle="1" w:styleId="12">
    <w:name w:val="Char Char Char Char"/>
    <w:basedOn w:val="1"/>
    <w:pPr>
      <w:spacing w:line="360" w:lineRule="auto"/>
      <w:ind w:firstLine="200" w:firstLineChars="200"/>
    </w:pPr>
    <w:rPr>
      <w:rFonts w:eastAsia="宋体"/>
      <w:sz w:val="21"/>
    </w:rPr>
  </w:style>
  <w:style w:type="paragraph" w:customStyle="1" w:styleId="13">
    <w:name w:val="p0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Char"/>
    <w:basedOn w:val="1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5">
    <w:name w:val="Char Char Char1 Char Char Char Char"/>
    <w:basedOn w:val="1"/>
    <w:rPr>
      <w:rFonts w:eastAsia="宋体"/>
      <w:sz w:val="21"/>
      <w:szCs w:val="20"/>
    </w:rPr>
  </w:style>
  <w:style w:type="character" w:customStyle="1" w:styleId="16">
    <w:name w:val="批注框文本 Char Char Char Char"/>
    <w:basedOn w:val="4"/>
    <w:link w:val="7"/>
    <w:semiHidden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233</Words>
  <Characters>1329</Characters>
  <Lines>11</Lines>
  <Paragraphs>3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2013-07-31T07:29:00Z</dcterms:created>
  <dc:creator>微软用户</dc:creator>
  <cp:lastPrinted>2013-08-02T06:11:00Z</cp:lastPrinted>
  <dcterms:modified xsi:type="dcterms:W3CDTF">2013-09-25T14:13:40Z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