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7C" w:rsidRDefault="00E32E0A" w:rsidP="000D337C">
      <w:pPr>
        <w:spacing w:beforeLines="50" w:afterLines="50" w:line="20" w:lineRule="auto"/>
        <w:rPr>
          <w:rFonts w:ascii="宋体" w:eastAsia="宋体" w:hAnsi="宋体"/>
          <w:spacing w:val="40"/>
          <w:sz w:val="32"/>
          <w:szCs w:val="32"/>
        </w:rPr>
      </w:pPr>
      <w:r>
        <w:rPr>
          <w:rFonts w:ascii="宋体" w:eastAsia="宋体" w:hAnsi="宋体" w:hint="eastAsia"/>
          <w:spacing w:val="40"/>
          <w:sz w:val="32"/>
          <w:szCs w:val="32"/>
        </w:rPr>
        <w:t>附件</w:t>
      </w:r>
      <w:r>
        <w:rPr>
          <w:rFonts w:ascii="宋体" w:eastAsia="宋体" w:hAnsi="宋体" w:hint="eastAsia"/>
          <w:spacing w:val="40"/>
          <w:sz w:val="32"/>
          <w:szCs w:val="32"/>
        </w:rPr>
        <w:t>1</w:t>
      </w:r>
      <w:r>
        <w:rPr>
          <w:rFonts w:ascii="宋体" w:eastAsia="宋体" w:hAnsi="宋体" w:hint="eastAsia"/>
          <w:spacing w:val="40"/>
          <w:sz w:val="32"/>
          <w:szCs w:val="32"/>
        </w:rPr>
        <w:t>：</w:t>
      </w:r>
    </w:p>
    <w:p w:rsidR="000D337C" w:rsidRDefault="000D337C" w:rsidP="000D337C">
      <w:pPr>
        <w:spacing w:beforeLines="50" w:afterLines="50" w:line="20" w:lineRule="auto"/>
        <w:jc w:val="center"/>
        <w:rPr>
          <w:rFonts w:ascii="宋体" w:eastAsia="宋体" w:hAnsi="宋体"/>
          <w:spacing w:val="40"/>
          <w:sz w:val="18"/>
          <w:szCs w:val="18"/>
        </w:rPr>
      </w:pPr>
    </w:p>
    <w:p w:rsidR="000D337C" w:rsidRDefault="000D337C" w:rsidP="000D337C">
      <w:pPr>
        <w:spacing w:beforeLines="50" w:afterLines="50" w:line="20" w:lineRule="auto"/>
        <w:jc w:val="center"/>
        <w:rPr>
          <w:rFonts w:ascii="宋体" w:eastAsia="宋体" w:hAnsi="宋体"/>
          <w:spacing w:val="40"/>
          <w:sz w:val="18"/>
          <w:szCs w:val="18"/>
        </w:rPr>
      </w:pPr>
    </w:p>
    <w:p w:rsidR="000D337C" w:rsidRDefault="00E32E0A" w:rsidP="000D337C">
      <w:pPr>
        <w:spacing w:beforeLines="50" w:afterLines="50" w:line="20" w:lineRule="auto"/>
        <w:jc w:val="center"/>
        <w:rPr>
          <w:rFonts w:ascii="宋体" w:eastAsia="宋体" w:hAnsi="宋体"/>
          <w:b/>
          <w:spacing w:val="40"/>
          <w:sz w:val="48"/>
          <w:szCs w:val="48"/>
        </w:rPr>
      </w:pPr>
      <w:r>
        <w:rPr>
          <w:rFonts w:ascii="宋体" w:eastAsia="宋体" w:hAnsi="宋体" w:hint="eastAsia"/>
          <w:b/>
          <w:spacing w:val="40"/>
          <w:sz w:val="48"/>
          <w:szCs w:val="48"/>
        </w:rPr>
        <w:t>中国轻工业联合会</w:t>
      </w:r>
    </w:p>
    <w:p w:rsidR="000D337C" w:rsidRDefault="000D337C" w:rsidP="000D337C">
      <w:pPr>
        <w:spacing w:beforeLines="50" w:afterLines="50" w:line="20" w:lineRule="auto"/>
        <w:jc w:val="center"/>
        <w:rPr>
          <w:rFonts w:ascii="宋体" w:eastAsia="宋体" w:hAnsi="宋体"/>
          <w:b/>
          <w:spacing w:val="40"/>
          <w:sz w:val="48"/>
          <w:szCs w:val="48"/>
        </w:rPr>
      </w:pPr>
    </w:p>
    <w:p w:rsidR="000D337C" w:rsidRDefault="00E32E0A" w:rsidP="000D337C">
      <w:pPr>
        <w:spacing w:beforeLines="50" w:afterLines="50" w:line="20" w:lineRule="auto"/>
        <w:jc w:val="center"/>
        <w:rPr>
          <w:rFonts w:ascii="宋体" w:eastAsia="宋体" w:hAnsi="宋体"/>
          <w:spacing w:val="40"/>
          <w:sz w:val="48"/>
          <w:szCs w:val="48"/>
        </w:rPr>
      </w:pPr>
      <w:r>
        <w:rPr>
          <w:rFonts w:ascii="宋体" w:eastAsia="宋体" w:hAnsi="宋体" w:hint="eastAsia"/>
          <w:b/>
          <w:spacing w:val="40"/>
          <w:sz w:val="48"/>
          <w:szCs w:val="48"/>
        </w:rPr>
        <w:t>2013</w:t>
      </w:r>
      <w:bookmarkStart w:id="0" w:name="_GoBack"/>
      <w:bookmarkEnd w:id="0"/>
      <w:r>
        <w:rPr>
          <w:rFonts w:ascii="宋体" w:eastAsia="宋体" w:hAnsi="宋体" w:hint="eastAsia"/>
          <w:b/>
          <w:spacing w:val="40"/>
          <w:sz w:val="48"/>
          <w:szCs w:val="48"/>
        </w:rPr>
        <w:t>年</w:t>
      </w:r>
      <w:r>
        <w:rPr>
          <w:rFonts w:ascii="宋体" w:eastAsia="宋体" w:hAnsi="宋体" w:hint="eastAsia"/>
          <w:b/>
          <w:spacing w:val="40"/>
          <w:sz w:val="48"/>
          <w:szCs w:val="48"/>
        </w:rPr>
        <w:t>11</w:t>
      </w:r>
      <w:r>
        <w:rPr>
          <w:rFonts w:ascii="宋体" w:eastAsia="宋体" w:hAnsi="宋体" w:hint="eastAsia"/>
          <w:b/>
          <w:spacing w:val="40"/>
          <w:sz w:val="48"/>
          <w:szCs w:val="48"/>
        </w:rPr>
        <w:t>月轻工行业标准制修订计划</w:t>
      </w:r>
    </w:p>
    <w:p w:rsidR="000D337C" w:rsidRDefault="000D337C" w:rsidP="000D337C">
      <w:pPr>
        <w:spacing w:beforeLines="50" w:afterLines="50" w:line="20" w:lineRule="auto"/>
        <w:jc w:val="center"/>
        <w:rPr>
          <w:rFonts w:ascii="宋体" w:eastAsia="宋体" w:hAnsi="宋体"/>
          <w:b/>
          <w:spacing w:val="40"/>
          <w:sz w:val="32"/>
          <w:szCs w:val="32"/>
        </w:rPr>
      </w:pPr>
    </w:p>
    <w:p w:rsidR="000D337C" w:rsidRDefault="00E32E0A" w:rsidP="000D337C">
      <w:pPr>
        <w:spacing w:beforeLines="50" w:afterLines="50" w:line="20" w:lineRule="auto"/>
        <w:jc w:val="center"/>
        <w:rPr>
          <w:rFonts w:ascii="宋体" w:eastAsia="宋体" w:hAnsi="宋体"/>
          <w:b/>
          <w:spacing w:val="40"/>
          <w:sz w:val="32"/>
          <w:szCs w:val="32"/>
        </w:rPr>
      </w:pPr>
      <w:r>
        <w:rPr>
          <w:rFonts w:ascii="宋体" w:eastAsia="宋体" w:hAnsi="宋体" w:hint="eastAsia"/>
          <w:b/>
          <w:spacing w:val="40"/>
          <w:sz w:val="32"/>
          <w:szCs w:val="32"/>
        </w:rPr>
        <w:t>（征求意见稿）</w:t>
      </w:r>
    </w:p>
    <w:p w:rsidR="000D337C" w:rsidRDefault="000D337C" w:rsidP="000D337C">
      <w:pPr>
        <w:spacing w:beforeLines="50" w:afterLines="50" w:line="20" w:lineRule="auto"/>
        <w:jc w:val="center"/>
        <w:rPr>
          <w:rFonts w:ascii="宋体" w:eastAsia="宋体" w:hAnsi="宋体"/>
          <w:spacing w:val="40"/>
          <w:sz w:val="18"/>
          <w:szCs w:val="18"/>
        </w:rPr>
      </w:pPr>
    </w:p>
    <w:p w:rsidR="000D337C" w:rsidRDefault="000D337C" w:rsidP="000D337C">
      <w:pPr>
        <w:spacing w:beforeLines="50" w:afterLines="50" w:line="20" w:lineRule="auto"/>
        <w:jc w:val="center"/>
        <w:rPr>
          <w:rFonts w:ascii="宋体" w:eastAsia="宋体" w:hAnsi="宋体"/>
          <w:spacing w:val="40"/>
          <w:szCs w:val="30"/>
        </w:rPr>
      </w:pPr>
    </w:p>
    <w:p w:rsidR="000D337C" w:rsidRDefault="000D337C" w:rsidP="000D337C">
      <w:pPr>
        <w:spacing w:beforeLines="50" w:afterLines="50" w:line="20" w:lineRule="auto"/>
        <w:rPr>
          <w:rFonts w:ascii="宋体" w:eastAsia="宋体" w:hAnsi="宋体"/>
          <w:spacing w:val="40"/>
          <w:szCs w:val="30"/>
        </w:rPr>
      </w:pPr>
    </w:p>
    <w:p w:rsidR="000D337C" w:rsidRDefault="00E32E0A">
      <w:pPr>
        <w:spacing w:before="156" w:after="156" w:line="20" w:lineRule="auto"/>
        <w:jc w:val="center"/>
        <w:rPr>
          <w:rFonts w:ascii="宋体" w:eastAsia="宋体" w:hAnsi="宋体"/>
          <w:spacing w:val="40"/>
          <w:sz w:val="32"/>
          <w:szCs w:val="32"/>
        </w:rPr>
      </w:pPr>
      <w:r>
        <w:rPr>
          <w:rFonts w:ascii="宋体" w:eastAsia="宋体" w:hAnsi="宋体" w:hint="eastAsia"/>
          <w:spacing w:val="40"/>
          <w:sz w:val="32"/>
          <w:szCs w:val="32"/>
        </w:rPr>
        <w:t>中国轻工业联合会质量标准部</w:t>
      </w:r>
    </w:p>
    <w:p w:rsidR="000D337C" w:rsidRDefault="00E32E0A">
      <w:pPr>
        <w:spacing w:before="156" w:after="156" w:line="20" w:lineRule="auto"/>
        <w:jc w:val="center"/>
        <w:rPr>
          <w:rFonts w:ascii="宋体" w:eastAsia="宋体" w:hAnsi="宋体"/>
          <w:spacing w:val="40"/>
          <w:sz w:val="32"/>
          <w:szCs w:val="32"/>
        </w:rPr>
      </w:pPr>
      <w:r>
        <w:rPr>
          <w:rFonts w:ascii="宋体" w:eastAsia="宋体" w:hAnsi="宋体" w:hint="eastAsia"/>
          <w:spacing w:val="40"/>
          <w:sz w:val="32"/>
          <w:szCs w:val="32"/>
        </w:rPr>
        <w:t>2013</w:t>
      </w:r>
      <w:r>
        <w:rPr>
          <w:rFonts w:ascii="宋体" w:eastAsia="宋体" w:hAnsi="宋体" w:hint="eastAsia"/>
          <w:spacing w:val="40"/>
          <w:sz w:val="32"/>
          <w:szCs w:val="32"/>
        </w:rPr>
        <w:t>年</w:t>
      </w:r>
      <w:r>
        <w:rPr>
          <w:rFonts w:ascii="宋体" w:eastAsia="宋体" w:hAnsi="宋体" w:hint="eastAsia"/>
          <w:spacing w:val="40"/>
          <w:sz w:val="32"/>
          <w:szCs w:val="32"/>
        </w:rPr>
        <w:t>11</w:t>
      </w:r>
      <w:r>
        <w:rPr>
          <w:rFonts w:ascii="宋体" w:eastAsia="宋体" w:hAnsi="宋体" w:hint="eastAsia"/>
          <w:spacing w:val="40"/>
          <w:sz w:val="32"/>
          <w:szCs w:val="32"/>
        </w:rPr>
        <w:t>月</w:t>
      </w:r>
      <w:r>
        <w:rPr>
          <w:rFonts w:ascii="宋体" w:eastAsia="宋体" w:hAnsi="宋体"/>
          <w:spacing w:val="40"/>
          <w:sz w:val="18"/>
          <w:szCs w:val="18"/>
        </w:rPr>
        <w:br w:type="page"/>
      </w:r>
    </w:p>
    <w:p w:rsidR="000D337C" w:rsidRDefault="00E32E0A">
      <w:pPr>
        <w:spacing w:line="20" w:lineRule="auto"/>
        <w:jc w:val="center"/>
        <w:rPr>
          <w:rFonts w:ascii="宋体" w:eastAsia="宋体" w:hAnsi="宋体"/>
          <w:szCs w:val="30"/>
        </w:rPr>
      </w:pPr>
      <w:r>
        <w:rPr>
          <w:rFonts w:ascii="宋体" w:eastAsia="宋体" w:hAnsi="宋体" w:hint="eastAsia"/>
          <w:szCs w:val="30"/>
        </w:rPr>
        <w:t>2013</w:t>
      </w:r>
      <w:r>
        <w:rPr>
          <w:rFonts w:ascii="宋体" w:eastAsia="宋体" w:hAnsi="宋体" w:hint="eastAsia"/>
          <w:szCs w:val="30"/>
        </w:rPr>
        <w:t>年</w:t>
      </w:r>
      <w:r>
        <w:rPr>
          <w:rFonts w:ascii="宋体" w:eastAsia="宋体" w:hAnsi="宋体" w:hint="eastAsia"/>
          <w:szCs w:val="30"/>
        </w:rPr>
        <w:t>11</w:t>
      </w:r>
      <w:r>
        <w:rPr>
          <w:rFonts w:ascii="宋体" w:eastAsia="宋体" w:hAnsi="宋体" w:hint="eastAsia"/>
          <w:szCs w:val="30"/>
        </w:rPr>
        <w:t>月轻工行业标准制修订计划汇总表</w:t>
      </w:r>
      <w:bookmarkStart w:id="1" w:name="A1"/>
      <w:bookmarkEnd w:id="1"/>
    </w:p>
    <w:p w:rsidR="000D337C" w:rsidRDefault="000D337C">
      <w:pPr>
        <w:spacing w:line="20" w:lineRule="auto"/>
        <w:jc w:val="center"/>
        <w:rPr>
          <w:rFonts w:ascii="宋体" w:eastAsia="宋体" w:hAnsi="宋体"/>
          <w:sz w:val="2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329"/>
        <w:gridCol w:w="672"/>
        <w:gridCol w:w="819"/>
        <w:gridCol w:w="666"/>
        <w:gridCol w:w="556"/>
        <w:gridCol w:w="556"/>
        <w:gridCol w:w="558"/>
        <w:gridCol w:w="556"/>
        <w:gridCol w:w="558"/>
        <w:gridCol w:w="791"/>
        <w:gridCol w:w="791"/>
        <w:gridCol w:w="791"/>
        <w:gridCol w:w="791"/>
        <w:gridCol w:w="791"/>
        <w:gridCol w:w="862"/>
        <w:gridCol w:w="553"/>
      </w:tblGrid>
      <w:tr w:rsidR="000D337C">
        <w:tblPrEx>
          <w:tblCellMar>
            <w:top w:w="0" w:type="dxa"/>
            <w:bottom w:w="0" w:type="dxa"/>
          </w:tblCellMar>
        </w:tblPrEx>
        <w:trPr>
          <w:cantSplit/>
          <w:trHeight w:val="312"/>
          <w:tblHeader/>
        </w:trPr>
        <w:tc>
          <w:tcPr>
            <w:tcW w:w="534" w:type="dxa"/>
            <w:vMerge w:val="restart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标委会</w:t>
            </w:r>
          </w:p>
        </w:tc>
        <w:tc>
          <w:tcPr>
            <w:tcW w:w="819" w:type="dxa"/>
            <w:vMerge w:val="restart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行业</w:t>
            </w:r>
          </w:p>
        </w:tc>
        <w:tc>
          <w:tcPr>
            <w:tcW w:w="666" w:type="dxa"/>
            <w:vMerge w:val="restart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合计</w:t>
            </w:r>
          </w:p>
        </w:tc>
        <w:tc>
          <w:tcPr>
            <w:tcW w:w="1670" w:type="dxa"/>
            <w:gridSpan w:val="3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性质</w:t>
            </w:r>
          </w:p>
        </w:tc>
        <w:tc>
          <w:tcPr>
            <w:tcW w:w="1114" w:type="dxa"/>
            <w:gridSpan w:val="2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制修订</w:t>
            </w:r>
          </w:p>
        </w:tc>
        <w:tc>
          <w:tcPr>
            <w:tcW w:w="3955" w:type="dxa"/>
            <w:gridSpan w:val="5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标准类别</w:t>
            </w:r>
          </w:p>
        </w:tc>
        <w:tc>
          <w:tcPr>
            <w:tcW w:w="862" w:type="dxa"/>
            <w:vMerge w:val="restart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采用国际和国外先进标准数</w:t>
            </w:r>
          </w:p>
        </w:tc>
        <w:tc>
          <w:tcPr>
            <w:tcW w:w="553" w:type="dxa"/>
            <w:vMerge w:val="restart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重点项目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cantSplit/>
          <w:trHeight w:val="312"/>
          <w:tblHeader/>
        </w:trPr>
        <w:tc>
          <w:tcPr>
            <w:tcW w:w="534" w:type="dxa"/>
            <w:vMerge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001" w:type="dxa"/>
            <w:gridSpan w:val="2"/>
            <w:vMerge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9" w:type="dxa"/>
            <w:vMerge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66" w:type="dxa"/>
            <w:vMerge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强制</w:t>
            </w: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推荐</w:t>
            </w:r>
          </w:p>
        </w:tc>
        <w:tc>
          <w:tcPr>
            <w:tcW w:w="558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指导</w:t>
            </w: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制定</w:t>
            </w:r>
          </w:p>
        </w:tc>
        <w:tc>
          <w:tcPr>
            <w:tcW w:w="558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修订</w:t>
            </w:r>
          </w:p>
        </w:tc>
        <w:tc>
          <w:tcPr>
            <w:tcW w:w="791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节能与综合利用</w:t>
            </w:r>
          </w:p>
        </w:tc>
        <w:tc>
          <w:tcPr>
            <w:tcW w:w="791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工程建设</w:t>
            </w:r>
          </w:p>
        </w:tc>
        <w:tc>
          <w:tcPr>
            <w:tcW w:w="791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安全生产</w:t>
            </w:r>
          </w:p>
        </w:tc>
        <w:tc>
          <w:tcPr>
            <w:tcW w:w="791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产品类</w:t>
            </w:r>
          </w:p>
        </w:tc>
        <w:tc>
          <w:tcPr>
            <w:tcW w:w="791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标准样品</w:t>
            </w:r>
          </w:p>
        </w:tc>
        <w:tc>
          <w:tcPr>
            <w:tcW w:w="862" w:type="dxa"/>
            <w:vMerge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3" w:type="dxa"/>
            <w:vMerge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329" w:type="dxa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672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合计</w:t>
            </w:r>
          </w:p>
        </w:tc>
        <w:tc>
          <w:tcPr>
            <w:tcW w:w="819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66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558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558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553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4" w:type="dxa"/>
          </w:tcPr>
          <w:p w:rsidR="000D337C" w:rsidRDefault="000D337C">
            <w:pPr>
              <w:pStyle w:val="10"/>
              <w:numPr>
                <w:ilvl w:val="0"/>
                <w:numId w:val="1"/>
              </w:numPr>
              <w:spacing w:line="20" w:lineRule="auto"/>
              <w:ind w:firstLineChars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29" w:type="dxa"/>
          </w:tcPr>
          <w:p w:rsidR="000D337C" w:rsidRDefault="00E32E0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全国日用杂品标准化中心</w:t>
            </w:r>
          </w:p>
        </w:tc>
        <w:tc>
          <w:tcPr>
            <w:tcW w:w="672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819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</w:t>
            </w: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558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558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</w:t>
            </w:r>
          </w:p>
        </w:tc>
        <w:tc>
          <w:tcPr>
            <w:tcW w:w="553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34" w:type="dxa"/>
          </w:tcPr>
          <w:p w:rsidR="000D337C" w:rsidRDefault="000D337C">
            <w:pPr>
              <w:pStyle w:val="10"/>
              <w:numPr>
                <w:ilvl w:val="0"/>
                <w:numId w:val="1"/>
              </w:numPr>
              <w:spacing w:line="20" w:lineRule="auto"/>
              <w:ind w:firstLineChars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29" w:type="dxa"/>
          </w:tcPr>
          <w:p w:rsidR="000D337C" w:rsidRDefault="00E32E0A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全国五金标准化技术委员会厨卫五金分技术委员会</w:t>
            </w:r>
          </w:p>
        </w:tc>
        <w:tc>
          <w:tcPr>
            <w:tcW w:w="672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819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558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558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553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534" w:type="dxa"/>
          </w:tcPr>
          <w:p w:rsidR="000D337C" w:rsidRDefault="000D337C">
            <w:pPr>
              <w:pStyle w:val="10"/>
              <w:numPr>
                <w:ilvl w:val="0"/>
                <w:numId w:val="1"/>
              </w:numPr>
              <w:spacing w:line="20" w:lineRule="auto"/>
              <w:ind w:firstLineChars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29" w:type="dxa"/>
          </w:tcPr>
          <w:p w:rsidR="000D337C" w:rsidRDefault="00E32E0A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全国家用电器标准化技术委员会</w:t>
            </w:r>
          </w:p>
        </w:tc>
        <w:tc>
          <w:tcPr>
            <w:tcW w:w="672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819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</w:t>
            </w: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558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6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558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791" w:type="dxa"/>
            <w:vAlign w:val="center"/>
          </w:tcPr>
          <w:p w:rsidR="000D337C" w:rsidRDefault="000D337C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</w:t>
            </w:r>
          </w:p>
        </w:tc>
        <w:tc>
          <w:tcPr>
            <w:tcW w:w="553" w:type="dxa"/>
            <w:vAlign w:val="center"/>
          </w:tcPr>
          <w:p w:rsidR="000D337C" w:rsidRDefault="00E32E0A">
            <w:pPr>
              <w:spacing w:line="2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</w:tr>
    </w:tbl>
    <w:p w:rsidR="000D337C" w:rsidRDefault="000D337C">
      <w:pPr>
        <w:ind w:leftChars="-188" w:left="-224" w:hangingChars="188" w:hanging="340"/>
        <w:jc w:val="center"/>
        <w:rPr>
          <w:rFonts w:ascii="宋体" w:eastAsia="宋体" w:hAnsi="宋体"/>
          <w:b/>
          <w:sz w:val="18"/>
          <w:szCs w:val="18"/>
        </w:rPr>
      </w:pPr>
    </w:p>
    <w:p w:rsidR="000D337C" w:rsidRDefault="000D337C">
      <w:pPr>
        <w:ind w:leftChars="-188" w:left="-224" w:hangingChars="188" w:hanging="340"/>
        <w:jc w:val="center"/>
        <w:rPr>
          <w:rFonts w:ascii="宋体" w:eastAsia="宋体" w:hAnsi="宋体"/>
          <w:b/>
          <w:sz w:val="18"/>
          <w:szCs w:val="18"/>
        </w:rPr>
      </w:pPr>
    </w:p>
    <w:p w:rsidR="000D337C" w:rsidRDefault="000D337C">
      <w:pPr>
        <w:ind w:leftChars="-188" w:left="-224" w:hangingChars="188" w:hanging="340"/>
        <w:jc w:val="center"/>
        <w:rPr>
          <w:rFonts w:ascii="宋体" w:eastAsia="宋体" w:hAnsi="宋体"/>
          <w:b/>
          <w:sz w:val="18"/>
          <w:szCs w:val="18"/>
        </w:rPr>
      </w:pPr>
    </w:p>
    <w:p w:rsidR="000D337C" w:rsidRDefault="000D337C">
      <w:pPr>
        <w:ind w:leftChars="-188" w:left="-224" w:hangingChars="188" w:hanging="340"/>
        <w:jc w:val="center"/>
        <w:rPr>
          <w:rFonts w:ascii="宋体" w:eastAsia="宋体" w:hAnsi="宋体"/>
          <w:b/>
          <w:sz w:val="18"/>
          <w:szCs w:val="18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0D337C">
      <w:pPr>
        <w:ind w:leftChars="-188" w:left="-168" w:hangingChars="188" w:hanging="396"/>
        <w:jc w:val="center"/>
        <w:rPr>
          <w:rFonts w:ascii="宋体" w:eastAsia="宋体" w:hAnsi="宋体"/>
          <w:b/>
          <w:sz w:val="21"/>
          <w:szCs w:val="21"/>
        </w:rPr>
      </w:pPr>
    </w:p>
    <w:p w:rsidR="000D337C" w:rsidRDefault="00E32E0A">
      <w:pPr>
        <w:jc w:val="center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2013</w:t>
      </w:r>
      <w:r>
        <w:rPr>
          <w:rFonts w:ascii="宋体" w:eastAsia="宋体" w:hAnsi="宋体" w:hint="eastAsia"/>
          <w:b/>
          <w:sz w:val="21"/>
          <w:szCs w:val="21"/>
        </w:rPr>
        <w:t>年</w:t>
      </w:r>
      <w:r>
        <w:rPr>
          <w:rFonts w:ascii="宋体" w:eastAsia="宋体" w:hAnsi="宋体" w:hint="eastAsia"/>
          <w:b/>
          <w:sz w:val="21"/>
          <w:szCs w:val="21"/>
        </w:rPr>
        <w:t>11</w:t>
      </w:r>
      <w:r>
        <w:rPr>
          <w:rFonts w:ascii="宋体" w:eastAsia="宋体" w:hAnsi="宋体" w:hint="eastAsia"/>
          <w:b/>
          <w:sz w:val="21"/>
          <w:szCs w:val="21"/>
        </w:rPr>
        <w:t>月轻工行业标准项目计划汇总表</w:t>
      </w:r>
    </w:p>
    <w:p w:rsidR="000D337C" w:rsidRDefault="000D337C">
      <w:pPr>
        <w:ind w:leftChars="-188" w:left="-224" w:hangingChars="188" w:hanging="340"/>
        <w:jc w:val="center"/>
        <w:rPr>
          <w:rFonts w:ascii="宋体" w:eastAsia="宋体" w:hAnsi="宋体"/>
          <w:b/>
          <w:sz w:val="18"/>
          <w:szCs w:val="18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425"/>
        <w:gridCol w:w="701"/>
        <w:gridCol w:w="701"/>
        <w:gridCol w:w="701"/>
        <w:gridCol w:w="701"/>
        <w:gridCol w:w="2322"/>
        <w:gridCol w:w="1985"/>
        <w:gridCol w:w="1559"/>
        <w:gridCol w:w="992"/>
        <w:gridCol w:w="1276"/>
      </w:tblGrid>
      <w:tr w:rsidR="000D337C">
        <w:tblPrEx>
          <w:tblCellMar>
            <w:top w:w="0" w:type="dxa"/>
            <w:bottom w:w="0" w:type="dxa"/>
          </w:tblCellMar>
        </w:tblPrEx>
        <w:trPr>
          <w:trHeight w:val="1191"/>
          <w:tblHeader/>
        </w:trPr>
        <w:tc>
          <w:tcPr>
            <w:tcW w:w="671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标准项目名称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标准性质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标准类别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制修订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完成年限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pStyle w:val="1"/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标准化技术组织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主要起草单位</w:t>
            </w:r>
          </w:p>
        </w:tc>
        <w:tc>
          <w:tcPr>
            <w:tcW w:w="1559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采用国际标准或国外先进标准程度及标准号</w:t>
            </w:r>
          </w:p>
        </w:tc>
        <w:tc>
          <w:tcPr>
            <w:tcW w:w="992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代替标准</w:t>
            </w:r>
          </w:p>
        </w:tc>
        <w:tc>
          <w:tcPr>
            <w:tcW w:w="1276" w:type="dxa"/>
            <w:vAlign w:val="center"/>
          </w:tcPr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是否重点</w:t>
            </w:r>
          </w:p>
          <w:p w:rsidR="000D337C" w:rsidRDefault="00E32E0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pStyle w:val="10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雨披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2014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全国日用杂品标准化中心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北京市轻工产品质量监督检验一站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pStyle w:val="10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雨衣雨裤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2014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全国日用杂品标准化中心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北京市轻工产品质量监督检验一站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pStyle w:val="10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温控淋浴器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强制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2015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全国五金标准化技术委员会厨卫五金分技术委员会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九牧厨卫股份有限公司、福建西河卫浴科技有限公司、中国五金制品协会、路达（厦门）工业有限公司、国家建筑材料工业建筑五金水暖产品质量监督检验测试中心、辉煌水暖集团、菲时特集团。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pStyle w:val="10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厨卫五金涂、镀层技术规范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2015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全国五金标准化技术委员会厨卫五金分技术委员会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九牧厨卫股份有限公司、国家建筑材料工业建筑五金水暖产品质量监督检验测试中心、辉煌水暖集团、菲时特集团、中国五金制品协会等</w:t>
            </w:r>
          </w:p>
        </w:tc>
        <w:tc>
          <w:tcPr>
            <w:tcW w:w="1559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EN 248-2002</w:t>
            </w:r>
          </w:p>
        </w:tc>
        <w:tc>
          <w:tcPr>
            <w:tcW w:w="992" w:type="dxa"/>
            <w:vAlign w:val="center"/>
          </w:tcPr>
          <w:p w:rsidR="000D337C" w:rsidRDefault="000D337C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wordWrap w:val="0"/>
              <w:ind w:right="360" w:firstLineChars="100" w:firstLine="1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家用和类似用途洗碗机的抗菌、除菌功能试验方法及技术要求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全国家用电器标准化技术委员会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中国家用电器研究院等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ind w:right="18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6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家用和类似用途干衣机的抗菌、除菌功能试验方法及技术要求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全国家用电器标准化技术委员会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中国家用电器研究院等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67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悬浮式洗衣机脱水机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全国家用电器标准化技术委员会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中国家用电器研究院等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半导体制冷器具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全国家用电器标准化技术委员会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青岛海尔股份有限公司等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电冰箱保鲜要求及测试方法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全国家用电器标准化技术委员会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青岛海尔股份有限公司等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家用和类似用途微波炉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全国家用电器标准化技术委员会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中国家用电器研究院、美的集团等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商用微波炉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全国家用电器标准化技术委员会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中国家用电器研究院、美的集团等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是</w:t>
            </w:r>
          </w:p>
        </w:tc>
      </w:tr>
      <w:tr w:rsidR="000D33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2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葡萄酒保鲜分酒机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推荐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322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全国家用电器标准化技术委员会</w:t>
            </w:r>
          </w:p>
        </w:tc>
        <w:tc>
          <w:tcPr>
            <w:tcW w:w="1985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浙江心连心电器有限公司等</w:t>
            </w:r>
          </w:p>
        </w:tc>
        <w:tc>
          <w:tcPr>
            <w:tcW w:w="1559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337C" w:rsidRDefault="000D337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337C" w:rsidRDefault="00E32E0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是</w:t>
            </w:r>
          </w:p>
        </w:tc>
      </w:tr>
    </w:tbl>
    <w:p w:rsidR="000D337C" w:rsidRDefault="000D337C">
      <w:pPr>
        <w:ind w:firstLineChars="200" w:firstLine="360"/>
        <w:rPr>
          <w:rFonts w:ascii="宋体" w:eastAsia="宋体" w:hAnsi="宋体"/>
          <w:sz w:val="18"/>
          <w:szCs w:val="18"/>
        </w:rPr>
      </w:pPr>
    </w:p>
    <w:p w:rsidR="000D337C" w:rsidRDefault="000D337C">
      <w:pPr>
        <w:ind w:firstLineChars="200" w:firstLine="360"/>
        <w:rPr>
          <w:rFonts w:ascii="宋体" w:eastAsia="宋体" w:hAnsi="宋体"/>
          <w:sz w:val="18"/>
          <w:szCs w:val="18"/>
        </w:rPr>
      </w:pPr>
    </w:p>
    <w:sectPr w:rsidR="000D337C" w:rsidSect="000D337C">
      <w:pgSz w:w="16838" w:h="11906" w:orient="landscape"/>
      <w:pgMar w:top="993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0A" w:rsidRDefault="00E32E0A" w:rsidP="00E32E0A">
      <w:r>
        <w:separator/>
      </w:r>
    </w:p>
  </w:endnote>
  <w:endnote w:type="continuationSeparator" w:id="0">
    <w:p w:rsidR="00E32E0A" w:rsidRDefault="00E32E0A" w:rsidP="00E3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0A" w:rsidRDefault="00E32E0A" w:rsidP="00E32E0A">
      <w:r>
        <w:separator/>
      </w:r>
    </w:p>
  </w:footnote>
  <w:footnote w:type="continuationSeparator" w:id="0">
    <w:p w:rsidR="00E32E0A" w:rsidRDefault="00E32E0A" w:rsidP="00E32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37C"/>
    <w:rsid w:val="000D337C"/>
    <w:rsid w:val="00E3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er" w:semiHidden="0" w:unhideWhenUsed="0"/>
    <w:lsdException w:name="footer" w:semiHidden="0" w:unhideWhenUsed="0"/>
    <w:lsdException w:name="Default Paragraph Font" w:uiPriority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37C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3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D3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D337C"/>
    <w:rPr>
      <w:sz w:val="18"/>
      <w:szCs w:val="18"/>
    </w:rPr>
  </w:style>
  <w:style w:type="paragraph" w:customStyle="1" w:styleId="1">
    <w:name w:val="无间隔1"/>
    <w:rsid w:val="000D337C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customStyle="1" w:styleId="CharCharChar1Char">
    <w:name w:val="Char Char Char1 Char"/>
    <w:basedOn w:val="a"/>
    <w:rsid w:val="000D337C"/>
    <w:rPr>
      <w:rFonts w:eastAsia="宋体"/>
      <w:sz w:val="21"/>
      <w:szCs w:val="20"/>
    </w:rPr>
  </w:style>
  <w:style w:type="paragraph" w:customStyle="1" w:styleId="a5">
    <w:name w:val="段"/>
    <w:rsid w:val="000D337C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10">
    <w:name w:val="列出段落1"/>
    <w:basedOn w:val="a"/>
    <w:rsid w:val="000D337C"/>
    <w:pPr>
      <w:ind w:firstLineChars="200" w:firstLine="420"/>
    </w:pPr>
  </w:style>
  <w:style w:type="paragraph" w:customStyle="1" w:styleId="CharCharCharChar0">
    <w:name w:val="Char Char Char Char"/>
    <w:basedOn w:val="a"/>
    <w:rsid w:val="000D337C"/>
    <w:pPr>
      <w:spacing w:line="360" w:lineRule="auto"/>
      <w:ind w:firstLineChars="200" w:firstLine="200"/>
    </w:pPr>
    <w:rPr>
      <w:rFonts w:eastAsia="宋体"/>
      <w:sz w:val="21"/>
    </w:rPr>
  </w:style>
  <w:style w:type="paragraph" w:customStyle="1" w:styleId="p0">
    <w:name w:val="p0"/>
    <w:basedOn w:val="a"/>
    <w:rsid w:val="000D3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1">
    <w:name w:val="Char"/>
    <w:basedOn w:val="a"/>
    <w:rsid w:val="000D337C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CharChar1CharCharCharChar">
    <w:name w:val="Char Char Char1 Char Char Char Char"/>
    <w:basedOn w:val="a"/>
    <w:rsid w:val="000D337C"/>
    <w:rPr>
      <w:rFonts w:eastAsia="宋体"/>
      <w:sz w:val="21"/>
      <w:szCs w:val="20"/>
    </w:rPr>
  </w:style>
  <w:style w:type="character" w:customStyle="1" w:styleId="Char">
    <w:name w:val="页脚 Char"/>
    <w:basedOn w:val="a0"/>
    <w:link w:val="a3"/>
    <w:rsid w:val="000D337C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0D337C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CharCharChar">
    <w:name w:val="批注框文本 Char Char Char Char"/>
    <w:basedOn w:val="a0"/>
    <w:link w:val="CharChar"/>
    <w:semiHidden/>
    <w:rsid w:val="000D337C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微软用户</dc:creator>
  <cp:lastModifiedBy>lenovo</cp:lastModifiedBy>
  <cp:revision>1</cp:revision>
  <cp:lastPrinted>2013-11-20T08:40:00Z</cp:lastPrinted>
  <dcterms:created xsi:type="dcterms:W3CDTF">2013-11-20T05:38:00Z</dcterms:created>
  <dcterms:modified xsi:type="dcterms:W3CDTF">2013-11-20T09:03:00Z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