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05" w:rsidRPr="008F685C" w:rsidRDefault="00025F05" w:rsidP="00025F05">
      <w:pPr>
        <w:pStyle w:val="a5"/>
        <w:spacing w:line="400" w:lineRule="exact"/>
        <w:rPr>
          <w:rStyle w:val="a6"/>
          <w:rFonts w:asciiTheme="minorEastAsia" w:eastAsiaTheme="minorEastAsia" w:hAnsiTheme="minorEastAsia"/>
          <w:b w:val="0"/>
          <w:color w:val="333333"/>
          <w:sz w:val="28"/>
          <w:szCs w:val="28"/>
        </w:rPr>
      </w:pPr>
      <w:r>
        <w:rPr>
          <w:rStyle w:val="a6"/>
          <w:rFonts w:asciiTheme="minorEastAsia" w:eastAsiaTheme="minorEastAsia" w:hAnsiTheme="minorEastAsia" w:hint="eastAsia"/>
          <w:b w:val="0"/>
          <w:color w:val="333333"/>
          <w:sz w:val="28"/>
          <w:szCs w:val="28"/>
        </w:rPr>
        <w:t>附件1</w:t>
      </w:r>
      <w:r w:rsidRPr="008F685C">
        <w:rPr>
          <w:rStyle w:val="a6"/>
          <w:rFonts w:asciiTheme="minorEastAsia" w:eastAsiaTheme="minorEastAsia" w:hAnsiTheme="minorEastAsia" w:hint="eastAsia"/>
          <w:b w:val="0"/>
          <w:color w:val="333333"/>
          <w:sz w:val="28"/>
          <w:szCs w:val="28"/>
        </w:rPr>
        <w:t>：</w:t>
      </w:r>
    </w:p>
    <w:p w:rsidR="00025F05" w:rsidRPr="007A0381" w:rsidRDefault="00025F05" w:rsidP="00025F05">
      <w:pPr>
        <w:pStyle w:val="a5"/>
        <w:spacing w:line="400" w:lineRule="exact"/>
        <w:jc w:val="center"/>
        <w:rPr>
          <w:rStyle w:val="a6"/>
          <w:rFonts w:asciiTheme="minorEastAsia" w:eastAsiaTheme="minorEastAsia" w:hAnsiTheme="minorEastAsia"/>
          <w:color w:val="333333"/>
          <w:sz w:val="32"/>
          <w:szCs w:val="32"/>
        </w:rPr>
      </w:pPr>
      <w:r w:rsidRPr="007A0381">
        <w:rPr>
          <w:rStyle w:val="a6"/>
          <w:rFonts w:asciiTheme="minorEastAsia" w:eastAsiaTheme="minorEastAsia" w:hAnsiTheme="minorEastAsia" w:hint="eastAsia"/>
          <w:color w:val="333333"/>
          <w:sz w:val="32"/>
          <w:szCs w:val="32"/>
        </w:rPr>
        <w:t>2018年度中国轻工业浓香型白酒固态发酵</w:t>
      </w:r>
    </w:p>
    <w:p w:rsidR="00025F05" w:rsidRPr="007A0381" w:rsidRDefault="00025F05" w:rsidP="00025F05">
      <w:pPr>
        <w:pStyle w:val="a5"/>
        <w:spacing w:line="400" w:lineRule="exact"/>
        <w:jc w:val="center"/>
        <w:rPr>
          <w:rStyle w:val="a6"/>
          <w:rFonts w:asciiTheme="minorEastAsia" w:eastAsiaTheme="minorEastAsia" w:hAnsiTheme="minorEastAsia"/>
          <w:color w:val="333333"/>
          <w:sz w:val="32"/>
          <w:szCs w:val="32"/>
        </w:rPr>
      </w:pPr>
      <w:r w:rsidRPr="007A0381">
        <w:rPr>
          <w:rStyle w:val="a6"/>
          <w:rFonts w:asciiTheme="minorEastAsia" w:eastAsiaTheme="minorEastAsia" w:hAnsiTheme="minorEastAsia" w:hint="eastAsia"/>
          <w:color w:val="333333"/>
          <w:sz w:val="32"/>
          <w:szCs w:val="32"/>
        </w:rPr>
        <w:t>重点实验室开放基金项目申报指南</w:t>
      </w:r>
    </w:p>
    <w:p w:rsidR="00025F05" w:rsidRDefault="00025F05" w:rsidP="00025F05">
      <w:pPr>
        <w:pStyle w:val="a5"/>
        <w:spacing w:line="400" w:lineRule="exact"/>
        <w:jc w:val="center"/>
        <w:rPr>
          <w:rFonts w:asciiTheme="minorEastAsia" w:eastAsiaTheme="minorEastAsia" w:hAnsiTheme="minorEastAsia"/>
          <w:b/>
          <w:bCs/>
          <w:color w:val="333333"/>
          <w:sz w:val="36"/>
          <w:szCs w:val="36"/>
        </w:rPr>
      </w:pP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t>为促进“中国轻工业浓香型白酒固态发酵重点实验室”基础建设，确保实验室的研发水平，有针对性地开展项目研究工作，同时实验室</w:t>
      </w:r>
      <w:r>
        <w:rPr>
          <w:rFonts w:asciiTheme="minorEastAsia" w:hAnsiTheme="minorEastAsia" w:hint="eastAsia"/>
          <w:color w:val="000000" w:themeColor="text1"/>
          <w:sz w:val="28"/>
          <w:szCs w:val="28"/>
        </w:rPr>
        <w:t>本着“</w:t>
      </w:r>
      <w:r>
        <w:rPr>
          <w:rFonts w:asciiTheme="minorEastAsia" w:hAnsiTheme="minorEastAsia" w:hint="eastAsia"/>
          <w:sz w:val="28"/>
          <w:szCs w:val="28"/>
        </w:rPr>
        <w:t>开放、交流、合作、竞争”的</w:t>
      </w:r>
      <w:r>
        <w:rPr>
          <w:rFonts w:asciiTheme="minorEastAsia" w:hAnsiTheme="minorEastAsia" w:hint="eastAsia"/>
          <w:color w:val="000000" w:themeColor="text1"/>
          <w:sz w:val="28"/>
          <w:szCs w:val="28"/>
        </w:rPr>
        <w:t>运作</w:t>
      </w:r>
      <w:r>
        <w:rPr>
          <w:rFonts w:asciiTheme="minorEastAsia" w:hAnsiTheme="minorEastAsia" w:hint="eastAsia"/>
          <w:sz w:val="28"/>
          <w:szCs w:val="28"/>
        </w:rPr>
        <w:t>原则，现将“2018年度中国轻工业浓香型白酒固态发酵重点实验室</w:t>
      </w:r>
      <w:r>
        <w:rPr>
          <w:rFonts w:asciiTheme="minorEastAsia" w:hAnsiTheme="minorEastAsia" w:hint="eastAsia"/>
          <w:color w:val="000000" w:themeColor="text1"/>
          <w:sz w:val="28"/>
          <w:szCs w:val="28"/>
        </w:rPr>
        <w:t>开放</w:t>
      </w:r>
      <w:r>
        <w:rPr>
          <w:rFonts w:asciiTheme="minorEastAsia" w:hAnsiTheme="minorEastAsia" w:hint="eastAsia"/>
          <w:sz w:val="28"/>
          <w:szCs w:val="28"/>
        </w:rPr>
        <w:t>基金项目申报指南”予以公布。</w:t>
      </w:r>
    </w:p>
    <w:p w:rsidR="00025F05" w:rsidRDefault="00025F05" w:rsidP="003343C0">
      <w:pPr>
        <w:snapToGrid w:val="0"/>
        <w:spacing w:beforeLines="50" w:line="520" w:lineRule="exact"/>
        <w:ind w:firstLineChars="200" w:firstLine="562"/>
        <w:rPr>
          <w:rFonts w:asciiTheme="minorEastAsia" w:hAnsiTheme="minorEastAsia"/>
          <w:b/>
          <w:sz w:val="28"/>
          <w:szCs w:val="28"/>
        </w:rPr>
      </w:pPr>
      <w:r>
        <w:rPr>
          <w:rFonts w:asciiTheme="minorEastAsia" w:hAnsiTheme="minorEastAsia" w:hint="eastAsia"/>
          <w:b/>
          <w:sz w:val="28"/>
          <w:szCs w:val="28"/>
        </w:rPr>
        <w:t>一、项目类别及资助额度</w:t>
      </w: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t>项目分为基础研究项目、应用基础研究项目，成果转化项目（须以授权专利或市厅级以上的成果鉴定为基础）三类。资助额度视年度项目申请情况决定，基础研究项目2-4万元/项、应用基础研究项目3-5万元/项。申请单位可以适当的提供一定比例的配套经费；如果有合作单位参与，参与项目的</w:t>
      </w:r>
      <w:r>
        <w:rPr>
          <w:rFonts w:asciiTheme="minorEastAsia" w:hAnsiTheme="minorEastAsia" w:hint="eastAsia"/>
          <w:color w:val="000000" w:themeColor="text1"/>
          <w:sz w:val="28"/>
          <w:szCs w:val="28"/>
        </w:rPr>
        <w:t>合作单位必须</w:t>
      </w:r>
      <w:r>
        <w:rPr>
          <w:rFonts w:asciiTheme="minorEastAsia" w:hAnsiTheme="minorEastAsia" w:hint="eastAsia"/>
          <w:sz w:val="28"/>
          <w:szCs w:val="28"/>
        </w:rPr>
        <w:t>提供不低于资助总额150%的配套经费。配套经费资助意见需在申请书“申请单位审批意见”栏中注明。</w:t>
      </w:r>
    </w:p>
    <w:p w:rsidR="00025F05" w:rsidRDefault="00025F05" w:rsidP="003343C0">
      <w:pPr>
        <w:snapToGrid w:val="0"/>
        <w:spacing w:beforeLines="50" w:line="520" w:lineRule="exact"/>
        <w:ind w:firstLineChars="200" w:firstLine="562"/>
        <w:rPr>
          <w:rFonts w:asciiTheme="minorEastAsia" w:hAnsiTheme="minorEastAsia"/>
          <w:b/>
          <w:sz w:val="28"/>
          <w:szCs w:val="28"/>
        </w:rPr>
      </w:pPr>
      <w:r>
        <w:rPr>
          <w:rFonts w:asciiTheme="minorEastAsia" w:hAnsiTheme="minorEastAsia" w:hint="eastAsia"/>
          <w:b/>
          <w:sz w:val="28"/>
          <w:szCs w:val="28"/>
        </w:rPr>
        <w:t>二、考核指标</w:t>
      </w: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t>（一）基础研究项目</w:t>
      </w: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t>除须符合省部级项目结题基本要求之外，还须满足下列条件之一：</w:t>
      </w:r>
    </w:p>
    <w:p w:rsidR="00025F05" w:rsidRDefault="00025F05" w:rsidP="003343C0">
      <w:pPr>
        <w:snapToGrid w:val="0"/>
        <w:spacing w:beforeLines="50" w:line="520" w:lineRule="exact"/>
        <w:ind w:firstLineChars="200" w:firstLine="560"/>
        <w:rPr>
          <w:rFonts w:asciiTheme="minorEastAsia" w:hAnsiTheme="minorEastAsia"/>
          <w:color w:val="000000" w:themeColor="text1"/>
          <w:sz w:val="28"/>
          <w:szCs w:val="28"/>
        </w:rPr>
      </w:pPr>
      <w:r>
        <w:rPr>
          <w:rFonts w:asciiTheme="minorEastAsia" w:hAnsiTheme="minorEastAsia" w:hint="eastAsia"/>
          <w:sz w:val="28"/>
          <w:szCs w:val="28"/>
        </w:rPr>
        <w:t>①形成授权实用新型专利1项或受理发明专利1项；②</w:t>
      </w:r>
      <w:r>
        <w:rPr>
          <w:rFonts w:asciiTheme="minorEastAsia" w:hAnsiTheme="minorEastAsia" w:hint="eastAsia"/>
          <w:color w:val="000000" w:themeColor="text1"/>
          <w:sz w:val="28"/>
          <w:szCs w:val="28"/>
        </w:rPr>
        <w:t>发表中文核心期刊论文1篇（CSCD收录，见刊）；③</w:t>
      </w:r>
      <w:r>
        <w:rPr>
          <w:rFonts w:asciiTheme="minorEastAsia" w:hAnsiTheme="minorEastAsia" w:hint="eastAsia"/>
          <w:sz w:val="28"/>
          <w:szCs w:val="28"/>
        </w:rPr>
        <w:t>发表中文核心期刊论文2篇（见刊）</w:t>
      </w:r>
      <w:r>
        <w:rPr>
          <w:rFonts w:asciiTheme="minorEastAsia" w:hAnsiTheme="minorEastAsia" w:hint="eastAsia"/>
          <w:color w:val="000000" w:themeColor="text1"/>
          <w:sz w:val="28"/>
          <w:szCs w:val="28"/>
        </w:rPr>
        <w:t>；④发表EI论文1篇（见刊）；⑤发表SCI论文1篇。并对高质量的论文（SCI优先考虑）及应用效果较好的专利进行适当的</w:t>
      </w:r>
      <w:r>
        <w:rPr>
          <w:rFonts w:asciiTheme="minorEastAsia" w:hAnsiTheme="minorEastAsia" w:hint="eastAsia"/>
          <w:color w:val="000000" w:themeColor="text1"/>
          <w:sz w:val="28"/>
          <w:szCs w:val="28"/>
        </w:rPr>
        <w:lastRenderedPageBreak/>
        <w:t>奖励。</w:t>
      </w: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t>（二）应用基础研究项目</w:t>
      </w:r>
    </w:p>
    <w:p w:rsidR="00025F05" w:rsidRDefault="00025F05" w:rsidP="00025F05">
      <w:pPr>
        <w:snapToGrid w:val="0"/>
        <w:spacing w:line="520" w:lineRule="exact"/>
        <w:ind w:firstLineChars="200" w:firstLine="560"/>
        <w:rPr>
          <w:rFonts w:asciiTheme="minorEastAsia" w:hAnsiTheme="minorEastAsia"/>
          <w:i/>
          <w:color w:val="0070C0"/>
          <w:sz w:val="28"/>
          <w:szCs w:val="28"/>
        </w:rPr>
      </w:pPr>
      <w:r>
        <w:rPr>
          <w:rFonts w:asciiTheme="minorEastAsia" w:hAnsiTheme="minorEastAsia" w:hint="eastAsia"/>
          <w:sz w:val="28"/>
          <w:szCs w:val="28"/>
        </w:rPr>
        <w:t>除须符合中国轻工业浓香型白酒固态发酵重点实验室开放基金项目结题要求外，还须满足下列条件之一：</w:t>
      </w:r>
    </w:p>
    <w:p w:rsidR="00025F05" w:rsidRDefault="00025F05" w:rsidP="003343C0">
      <w:pPr>
        <w:snapToGrid w:val="0"/>
        <w:spacing w:beforeLines="50" w:line="520" w:lineRule="exact"/>
        <w:ind w:firstLineChars="200" w:firstLine="560"/>
        <w:rPr>
          <w:rFonts w:asciiTheme="minorEastAsia" w:hAnsiTheme="minorEastAsia"/>
          <w:color w:val="000000" w:themeColor="text1"/>
          <w:sz w:val="28"/>
          <w:szCs w:val="28"/>
        </w:rPr>
      </w:pPr>
      <w:r>
        <w:rPr>
          <w:rFonts w:asciiTheme="minorEastAsia" w:hAnsiTheme="minorEastAsia" w:hint="eastAsia"/>
          <w:sz w:val="28"/>
          <w:szCs w:val="28"/>
        </w:rPr>
        <w:t>①形成授权实用新型专利1项或受理发明专利1项，发表中国核心期刊论文1 篇</w:t>
      </w:r>
      <w:r>
        <w:rPr>
          <w:rFonts w:asciiTheme="minorEastAsia" w:hAnsiTheme="minorEastAsia" w:hint="eastAsia"/>
          <w:color w:val="000000" w:themeColor="text1"/>
          <w:sz w:val="28"/>
          <w:szCs w:val="28"/>
        </w:rPr>
        <w:t>（见刊）；②发表中国核心期刊论文2篇，其中CSCD 收录1篇（均见刊）；③发表EI论文1篇（见刊）；④发表SCI论文1篇；⑤通过市厅级及以上成果鉴定。并对高质量的论文（SCI优先考虑）及应用效果较好的专利进行适当的奖励。</w:t>
      </w:r>
    </w:p>
    <w:p w:rsidR="00025F05" w:rsidRDefault="00025F05" w:rsidP="003343C0">
      <w:pPr>
        <w:snapToGrid w:val="0"/>
        <w:spacing w:beforeLines="50" w:line="520" w:lineRule="exact"/>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（三）成果转化项目</w:t>
      </w: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t>需要市厅级以上的成果鉴定证书。</w:t>
      </w:r>
    </w:p>
    <w:p w:rsidR="00025F05" w:rsidRDefault="00025F05" w:rsidP="003343C0">
      <w:pPr>
        <w:numPr>
          <w:ilvl w:val="0"/>
          <w:numId w:val="1"/>
        </w:numPr>
        <w:snapToGrid w:val="0"/>
        <w:spacing w:beforeLines="50" w:line="520" w:lineRule="exact"/>
        <w:ind w:firstLineChars="200" w:firstLine="562"/>
        <w:rPr>
          <w:rFonts w:asciiTheme="minorEastAsia" w:hAnsiTheme="minorEastAsia"/>
          <w:b/>
          <w:sz w:val="28"/>
          <w:szCs w:val="28"/>
        </w:rPr>
      </w:pPr>
      <w:r>
        <w:rPr>
          <w:rFonts w:asciiTheme="minorEastAsia" w:hAnsiTheme="minorEastAsia" w:hint="eastAsia"/>
          <w:b/>
          <w:sz w:val="28"/>
          <w:szCs w:val="28"/>
        </w:rPr>
        <w:t>优先资助</w:t>
      </w: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t>（一）有较好研究基础和产业化前景、并与申报指南相一致的“产、学、研、用”合作的项目。</w:t>
      </w: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t>（二）与宜宾五粮液股份有限公司联合申报的“产、学、研、用”项目。</w:t>
      </w:r>
    </w:p>
    <w:p w:rsidR="00025F05" w:rsidRDefault="00025F05" w:rsidP="003343C0">
      <w:pPr>
        <w:snapToGrid w:val="0"/>
        <w:spacing w:beforeLines="50" w:line="520" w:lineRule="exact"/>
        <w:ind w:firstLineChars="200" w:firstLine="562"/>
        <w:rPr>
          <w:rFonts w:asciiTheme="minorEastAsia" w:hAnsiTheme="minorEastAsia"/>
          <w:b/>
          <w:sz w:val="28"/>
          <w:szCs w:val="28"/>
        </w:rPr>
      </w:pPr>
      <w:r>
        <w:rPr>
          <w:rFonts w:asciiTheme="minorEastAsia" w:hAnsiTheme="minorEastAsia" w:hint="eastAsia"/>
          <w:b/>
          <w:sz w:val="28"/>
          <w:szCs w:val="28"/>
        </w:rPr>
        <w:t>四、重点资助领域</w:t>
      </w: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t>（一）重点资助的产业</w:t>
      </w: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t>浓香型固态白酒产业以及相关产业（环境保护、农业等）。</w:t>
      </w: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t>（二）重点资助的研究内容</w:t>
      </w: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t>1、固态发酵优质原料的选育与应用研究：优质发酵原料选育、生产；优质固态发酵原料发酵工艺研究。</w:t>
      </w: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lastRenderedPageBreak/>
        <w:t>2、固态发酵微生物资源与应用研究：固态发酵微生物资源筛选与鉴定；菌种功能性评价；功能菌株（剂）商业化（前期）研究；高效、优质微生物菌株（剂）产业化应用研究。</w:t>
      </w: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t>3、固态发酵副产物资源化利用研究：固态发酵副产物资源化、产业化利用新方式、新工艺、新设备研究；固态发酵副产物功能物质活性与安全性评价；固态发酵副产物功能活性物质提取、分离、制备及产业化利用工艺及设备研究。</w:t>
      </w: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t>4、固态发酵机理及工艺革新研究：发酵原料、微生物（区系）、发酵动态与产品产量、质量相关性研究；发酵工艺及设备改进和创新；固态发酵在线监控、过程调控技术及装置的研发。</w:t>
      </w: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t>5、酒类食品风险评估：针对酒类原辅材料的安全性检测（如农药残留、生物毒素、金属离子等）及其在生产过程中（发酵或蒸馏过程）对酒质的风险影响进行评估研究；酒类食品中安全性指标（杂醇油、甲醇、醛类、杂环类化合物等有机化合物、添加剂类化合物、农药残留、生物毒素、金属离子、其他有机污染化合物）进行风险影响、控制及评估的分析研究；酒类食品直接接触的包装材料相关的安全性指标（塑化剂、双酚A、其他有机污染溶出物、溶出性金属离子等）及其在长期使用过程中包装材料的变化（塑料老化等）进行风险影响、控制及评估的分析研究。</w:t>
      </w:r>
    </w:p>
    <w:p w:rsidR="00025F05" w:rsidRDefault="00025F05" w:rsidP="00025F05">
      <w:pPr>
        <w:snapToGrid w:val="0"/>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6、酿酒智能化技术研究及应用：</w:t>
      </w:r>
    </w:p>
    <w:p w:rsidR="00025F05" w:rsidRDefault="00025F05" w:rsidP="00025F05">
      <w:pPr>
        <w:snapToGrid w:val="0"/>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1）针对传统浓香型和酱香型固态白酒的糟醅出窖、拌粮拌糠进行自动化装备开发，研究自动上甑系统和自动摊晾系统；同时对装备应用过程中的配套工艺进行研究；自动摘酒、自动分级系统研究；利用信息技术将制曲工序原辅料进厂管理、原辅料参数采集和生产参数反馈结合，智能化管理系统的研究；自动化培曲装备、智能化曲房</w:t>
      </w:r>
      <w:r>
        <w:rPr>
          <w:rFonts w:asciiTheme="minorEastAsia" w:hAnsiTheme="minorEastAsia" w:hint="eastAsia"/>
          <w:sz w:val="28"/>
          <w:szCs w:val="28"/>
        </w:rPr>
        <w:lastRenderedPageBreak/>
        <w:t>管理系统；智能化曲库管理系统研究，提高贮存期曲块质量。利用无线物联网技术将窖池检测数据和发酵管理进行融合，窖池发酵智能管理系统的研究。</w:t>
      </w:r>
    </w:p>
    <w:p w:rsidR="00025F05" w:rsidRDefault="00025F05" w:rsidP="00025F05">
      <w:pPr>
        <w:snapToGrid w:val="0"/>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2）成品酒包装前酒质检测和包装后酒内异物检测进行的研究，开发自动化、智能化检测装备的研究；对曲块粉碎及曲粉运输过程开展智能化曲粉物流系统和分发系统的研究；对粮粉粉碎及运输过程开展智能化粮粉物流系统和分发系统的研究。</w:t>
      </w:r>
    </w:p>
    <w:p w:rsidR="00025F05" w:rsidRDefault="00025F05" w:rsidP="00025F05">
      <w:pPr>
        <w:pStyle w:val="a7"/>
        <w:snapToGrid w:val="0"/>
        <w:spacing w:line="520" w:lineRule="exact"/>
        <w:ind w:firstLine="560"/>
        <w:rPr>
          <w:rFonts w:asciiTheme="minorEastAsia" w:hAnsiTheme="minorEastAsia"/>
          <w:color w:val="000000" w:themeColor="text1"/>
          <w:sz w:val="28"/>
          <w:szCs w:val="28"/>
        </w:rPr>
      </w:pPr>
      <w:r>
        <w:rPr>
          <w:rFonts w:asciiTheme="minorEastAsia" w:hAnsiTheme="minorEastAsia" w:hint="eastAsia"/>
          <w:sz w:val="28"/>
          <w:szCs w:val="28"/>
        </w:rPr>
        <w:t>7、酒类分析技术研究与应用：借助现代分析检测技术，对中国传统白酒酿造过程检测分析的技术创新，建立与酿酒环节息息相关的各类风味物质指标的数</w:t>
      </w:r>
      <w:r>
        <w:rPr>
          <w:rFonts w:asciiTheme="minorEastAsia" w:hAnsiTheme="minorEastAsia" w:hint="eastAsia"/>
          <w:color w:val="000000" w:themeColor="text1"/>
          <w:sz w:val="28"/>
          <w:szCs w:val="28"/>
        </w:rPr>
        <w:t xml:space="preserve">据库。 </w:t>
      </w:r>
    </w:p>
    <w:p w:rsidR="00025F05" w:rsidRDefault="00025F05" w:rsidP="00025F05">
      <w:pPr>
        <w:pStyle w:val="a7"/>
        <w:snapToGrid w:val="0"/>
        <w:spacing w:line="520" w:lineRule="exact"/>
        <w:ind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8、白酒酿造关键技术研究：针对制曲、酿酒过程中的关键技术进行创新研究，有利于提高出酒率和酒质。</w:t>
      </w:r>
    </w:p>
    <w:p w:rsidR="00025F05" w:rsidRDefault="00025F05" w:rsidP="00025F05">
      <w:pPr>
        <w:pStyle w:val="a7"/>
        <w:snapToGrid w:val="0"/>
        <w:spacing w:line="520" w:lineRule="exact"/>
        <w:ind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9、特色发酵酒的研发及应用：特色果酒、特色米酒、特色起泡酒、配制酒等酒类新技术的研发及新产品开发。</w:t>
      </w:r>
    </w:p>
    <w:p w:rsidR="00025F05" w:rsidRDefault="00025F05" w:rsidP="003343C0">
      <w:pPr>
        <w:snapToGrid w:val="0"/>
        <w:spacing w:beforeLines="50" w:line="520" w:lineRule="exact"/>
        <w:ind w:rightChars="500" w:right="1050" w:firstLineChars="200" w:firstLine="562"/>
        <w:rPr>
          <w:rFonts w:asciiTheme="minorEastAsia" w:hAnsiTheme="minorEastAsia"/>
          <w:b/>
          <w:sz w:val="28"/>
          <w:szCs w:val="28"/>
        </w:rPr>
      </w:pPr>
      <w:r>
        <w:rPr>
          <w:rFonts w:asciiTheme="minorEastAsia" w:hAnsiTheme="minorEastAsia" w:hint="eastAsia"/>
          <w:b/>
          <w:sz w:val="28"/>
          <w:szCs w:val="28"/>
        </w:rPr>
        <w:t>五、申请人条件</w:t>
      </w: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t>（一）申请人所在单位同意；</w:t>
      </w:r>
    </w:p>
    <w:p w:rsidR="00025F05" w:rsidRDefault="00025F05" w:rsidP="00025F05">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（二）高校和科研院所中具有中级及以上专业技术职务的科研人员或硕士及以上学位人员；</w:t>
      </w:r>
    </w:p>
    <w:p w:rsidR="00025F05" w:rsidRDefault="00025F05" w:rsidP="003343C0">
      <w:pPr>
        <w:snapToGrid w:val="0"/>
        <w:spacing w:beforeLines="50" w:line="520" w:lineRule="exact"/>
        <w:ind w:firstLineChars="200" w:firstLine="560"/>
        <w:rPr>
          <w:rFonts w:asciiTheme="minorEastAsia" w:hAnsiTheme="minorEastAsia"/>
          <w:sz w:val="28"/>
          <w:szCs w:val="28"/>
        </w:rPr>
      </w:pPr>
      <w:r>
        <w:rPr>
          <w:rFonts w:asciiTheme="minorEastAsia" w:hAnsiTheme="minorEastAsia" w:hint="eastAsia"/>
          <w:sz w:val="28"/>
          <w:szCs w:val="28"/>
        </w:rPr>
        <w:t>（三）有企业技术负责人或法人代表推荐的企业工程技术人员。</w:t>
      </w:r>
      <w:bookmarkStart w:id="0" w:name="_GoBack"/>
      <w:bookmarkEnd w:id="0"/>
    </w:p>
    <w:p w:rsidR="00025F05" w:rsidRDefault="00025F05" w:rsidP="003343C0">
      <w:pPr>
        <w:snapToGrid w:val="0"/>
        <w:spacing w:beforeLines="50" w:line="520" w:lineRule="exact"/>
        <w:rPr>
          <w:rFonts w:asciiTheme="minorEastAsia" w:hAnsiTheme="minorEastAsia"/>
          <w:sz w:val="28"/>
          <w:szCs w:val="28"/>
        </w:rPr>
      </w:pPr>
    </w:p>
    <w:p w:rsidR="00025F05" w:rsidRDefault="00025F05" w:rsidP="003343C0">
      <w:pPr>
        <w:snapToGrid w:val="0"/>
        <w:spacing w:beforeLines="50" w:line="520" w:lineRule="exact"/>
        <w:rPr>
          <w:rFonts w:asciiTheme="minorEastAsia" w:hAnsiTheme="minorEastAsia"/>
          <w:sz w:val="28"/>
          <w:szCs w:val="28"/>
        </w:rPr>
      </w:pPr>
    </w:p>
    <w:p w:rsidR="00025F05" w:rsidRDefault="00025F05" w:rsidP="003343C0">
      <w:pPr>
        <w:snapToGrid w:val="0"/>
        <w:spacing w:beforeLines="50" w:line="520" w:lineRule="exact"/>
        <w:rPr>
          <w:rFonts w:asciiTheme="minorEastAsia" w:hAnsiTheme="minorEastAsia"/>
          <w:sz w:val="28"/>
          <w:szCs w:val="28"/>
        </w:rPr>
      </w:pPr>
    </w:p>
    <w:p w:rsidR="00025F05" w:rsidRDefault="00025F05" w:rsidP="003343C0">
      <w:pPr>
        <w:snapToGrid w:val="0"/>
        <w:spacing w:beforeLines="50" w:line="520" w:lineRule="exact"/>
        <w:rPr>
          <w:rFonts w:asciiTheme="minorEastAsia" w:hAnsiTheme="minorEastAsia"/>
          <w:sz w:val="28"/>
          <w:szCs w:val="28"/>
        </w:rPr>
      </w:pPr>
    </w:p>
    <w:p w:rsidR="00025F05" w:rsidRDefault="00025F05" w:rsidP="003343C0">
      <w:pPr>
        <w:snapToGrid w:val="0"/>
        <w:spacing w:beforeLines="50" w:line="520" w:lineRule="exact"/>
        <w:rPr>
          <w:rFonts w:asciiTheme="minorEastAsia" w:hAnsiTheme="minorEastAsia"/>
          <w:sz w:val="28"/>
          <w:szCs w:val="28"/>
        </w:rPr>
      </w:pPr>
    </w:p>
    <w:sectPr w:rsidR="00025F05" w:rsidSect="00DB034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3B0" w:rsidRDefault="007A03B0" w:rsidP="00025F05">
      <w:r>
        <w:separator/>
      </w:r>
    </w:p>
  </w:endnote>
  <w:endnote w:type="continuationSeparator" w:id="1">
    <w:p w:rsidR="007A03B0" w:rsidRDefault="007A03B0" w:rsidP="00025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6240"/>
      <w:docPartObj>
        <w:docPartGallery w:val="Page Numbers (Bottom of Page)"/>
        <w:docPartUnique/>
      </w:docPartObj>
    </w:sdtPr>
    <w:sdtContent>
      <w:p w:rsidR="00E45920" w:rsidRDefault="00944D86">
        <w:pPr>
          <w:pStyle w:val="a4"/>
          <w:jc w:val="center"/>
        </w:pPr>
        <w:r>
          <w:fldChar w:fldCharType="begin"/>
        </w:r>
        <w:r w:rsidR="00C9327A">
          <w:instrText xml:space="preserve"> PAGE   \* MERGEFORMAT </w:instrText>
        </w:r>
        <w:r>
          <w:fldChar w:fldCharType="separate"/>
        </w:r>
        <w:r w:rsidR="003343C0" w:rsidRPr="003343C0">
          <w:rPr>
            <w:noProof/>
            <w:lang w:val="zh-CN"/>
          </w:rPr>
          <w:t>2</w:t>
        </w:r>
        <w:r>
          <w:fldChar w:fldCharType="end"/>
        </w:r>
      </w:p>
    </w:sdtContent>
  </w:sdt>
  <w:p w:rsidR="00E45920" w:rsidRDefault="007A03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3B0" w:rsidRDefault="007A03B0" w:rsidP="00025F05">
      <w:r>
        <w:separator/>
      </w:r>
    </w:p>
  </w:footnote>
  <w:footnote w:type="continuationSeparator" w:id="1">
    <w:p w:rsidR="007A03B0" w:rsidRDefault="007A03B0" w:rsidP="00025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D22CA"/>
    <w:multiLevelType w:val="hybridMultilevel"/>
    <w:tmpl w:val="E5544994"/>
    <w:lvl w:ilvl="0" w:tplc="0409000F">
      <w:start w:val="1"/>
      <w:numFmt w:val="decimal"/>
      <w:lvlText w:val="%1."/>
      <w:lvlJc w:val="left"/>
      <w:pPr>
        <w:ind w:left="420" w:hanging="420"/>
      </w:pPr>
      <w:rPr>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247BF"/>
    <w:multiLevelType w:val="singleLevel"/>
    <w:tmpl w:val="69A247BF"/>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5F05"/>
    <w:rsid w:val="00025F05"/>
    <w:rsid w:val="003343C0"/>
    <w:rsid w:val="007A03B0"/>
    <w:rsid w:val="00944D86"/>
    <w:rsid w:val="00C932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5F05"/>
    <w:rPr>
      <w:sz w:val="18"/>
      <w:szCs w:val="18"/>
    </w:rPr>
  </w:style>
  <w:style w:type="paragraph" w:styleId="a4">
    <w:name w:val="footer"/>
    <w:basedOn w:val="a"/>
    <w:link w:val="Char0"/>
    <w:uiPriority w:val="99"/>
    <w:unhideWhenUsed/>
    <w:rsid w:val="00025F05"/>
    <w:pPr>
      <w:tabs>
        <w:tab w:val="center" w:pos="4153"/>
        <w:tab w:val="right" w:pos="8306"/>
      </w:tabs>
      <w:snapToGrid w:val="0"/>
      <w:jc w:val="left"/>
    </w:pPr>
    <w:rPr>
      <w:sz w:val="18"/>
      <w:szCs w:val="18"/>
    </w:rPr>
  </w:style>
  <w:style w:type="character" w:customStyle="1" w:styleId="Char0">
    <w:name w:val="页脚 Char"/>
    <w:basedOn w:val="a0"/>
    <w:link w:val="a4"/>
    <w:uiPriority w:val="99"/>
    <w:rsid w:val="00025F05"/>
    <w:rPr>
      <w:sz w:val="18"/>
      <w:szCs w:val="18"/>
    </w:rPr>
  </w:style>
  <w:style w:type="paragraph" w:styleId="a5">
    <w:name w:val="Normal (Web)"/>
    <w:basedOn w:val="a"/>
    <w:unhideWhenUsed/>
    <w:qFormat/>
    <w:rsid w:val="00025F05"/>
    <w:pPr>
      <w:widowControl/>
      <w:spacing w:after="150"/>
      <w:jc w:val="left"/>
    </w:pPr>
    <w:rPr>
      <w:rFonts w:ascii="宋体" w:eastAsia="宋体" w:hAnsi="宋体" w:cs="宋体"/>
      <w:kern w:val="0"/>
      <w:sz w:val="24"/>
      <w:szCs w:val="24"/>
    </w:rPr>
  </w:style>
  <w:style w:type="character" w:styleId="a6">
    <w:name w:val="Strong"/>
    <w:basedOn w:val="a0"/>
    <w:qFormat/>
    <w:rsid w:val="00025F05"/>
    <w:rPr>
      <w:b/>
      <w:bCs/>
    </w:rPr>
  </w:style>
  <w:style w:type="paragraph" w:styleId="a7">
    <w:name w:val="List Paragraph"/>
    <w:basedOn w:val="a"/>
    <w:uiPriority w:val="34"/>
    <w:qFormat/>
    <w:rsid w:val="00025F05"/>
    <w:pPr>
      <w:ind w:firstLineChars="200" w:firstLine="420"/>
    </w:pPr>
  </w:style>
  <w:style w:type="paragraph" w:customStyle="1" w:styleId="biaoti">
    <w:name w:val="biaoti"/>
    <w:basedOn w:val="a"/>
    <w:qFormat/>
    <w:rsid w:val="00025F05"/>
    <w:pPr>
      <w:widowControl/>
      <w:spacing w:before="100" w:beforeAutospacing="1" w:after="100" w:afterAutospacing="1" w:line="360" w:lineRule="auto"/>
      <w:ind w:left="420" w:hanging="420"/>
      <w:jc w:val="left"/>
    </w:pPr>
    <w:rPr>
      <w:rFonts w:ascii="宋体" w:eastAsia="宋体" w:hAnsi="宋体" w:cs="宋体"/>
      <w:b/>
      <w:bCs/>
      <w:spacing w:val="15"/>
      <w:kern w:val="0"/>
      <w:szCs w:val="21"/>
    </w:rPr>
  </w:style>
  <w:style w:type="table" w:styleId="a8">
    <w:name w:val="Table Grid"/>
    <w:basedOn w:val="a1"/>
    <w:uiPriority w:val="59"/>
    <w:rsid w:val="00025F05"/>
    <w:pPr>
      <w:spacing w:line="360" w:lineRule="auto"/>
      <w:ind w:left="420" w:hanging="42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311</Words>
  <Characters>1776</Characters>
  <Application>Microsoft Office Word</Application>
  <DocSecurity>0</DocSecurity>
  <Lines>14</Lines>
  <Paragraphs>4</Paragraphs>
  <ScaleCrop>false</ScaleCrop>
  <Company>Hewlett-Packard Company</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dc:creator>
  <cp:keywords/>
  <dc:description/>
  <cp:lastModifiedBy>lyz</cp:lastModifiedBy>
  <cp:revision>3</cp:revision>
  <dcterms:created xsi:type="dcterms:W3CDTF">2018-11-05T06:13:00Z</dcterms:created>
  <dcterms:modified xsi:type="dcterms:W3CDTF">2018-11-05T06:15:00Z</dcterms:modified>
</cp:coreProperties>
</file>