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framePr w:hSpace="0" w:vSpace="0" w:wrap="auto" w:vAnchor="margin" w:hAnchor="text" w:xAlign="left" w:yAlign="inline"/>
      </w:pPr>
      <w:r>
        <w:rPr>
          <w:rFonts w:hint="eastAsia"/>
        </w:rPr>
        <w:t>中国轻工业联合会团体标准</w:t>
      </w:r>
    </w:p>
    <w:p>
      <w:pPr>
        <w:snapToGrid w:val="0"/>
        <w:spacing w:line="360" w:lineRule="auto"/>
        <w:jc w:val="center"/>
        <w:rPr>
          <w:rFonts w:ascii="宋体"/>
          <w:b/>
          <w:sz w:val="44"/>
          <w:szCs w:val="44"/>
        </w:rPr>
      </w:pPr>
    </w:p>
    <w:p>
      <w:pPr>
        <w:snapToGrid w:val="0"/>
        <w:spacing w:line="360" w:lineRule="auto"/>
        <w:jc w:val="center"/>
        <w:rPr>
          <w:rFonts w:ascii="宋体" w:hAnsi="宋体"/>
          <w:b/>
          <w:sz w:val="44"/>
          <w:szCs w:val="44"/>
        </w:rPr>
      </w:pPr>
      <w:r>
        <w:rPr>
          <w:rFonts w:hint="eastAsia" w:ascii="宋体" w:hAnsi="宋体"/>
          <w:b/>
          <w:sz w:val="44"/>
          <w:szCs w:val="44"/>
        </w:rPr>
        <w:t>T</w:t>
      </w:r>
      <w:r>
        <w:rPr>
          <w:rFonts w:ascii="宋体" w:hAnsi="宋体"/>
          <w:b/>
          <w:sz w:val="44"/>
          <w:szCs w:val="44"/>
        </w:rPr>
        <w:t>/</w:t>
      </w:r>
      <w:r>
        <w:rPr>
          <w:rFonts w:hint="eastAsia" w:ascii="宋体" w:hAnsi="宋体"/>
          <w:b/>
          <w:sz w:val="44"/>
          <w:szCs w:val="44"/>
        </w:rPr>
        <w:t>XX</w:t>
      </w:r>
      <w:r>
        <w:rPr>
          <w:rFonts w:ascii="宋体" w:hAnsi="宋体"/>
          <w:b/>
          <w:sz w:val="44"/>
          <w:szCs w:val="44"/>
        </w:rPr>
        <w:t xml:space="preserve"> xxxxx-xxxx</w:t>
      </w:r>
    </w:p>
    <w:p>
      <w:pPr>
        <w:snapToGrid w:val="0"/>
        <w:spacing w:line="360" w:lineRule="auto"/>
        <w:jc w:val="center"/>
        <w:rPr>
          <w:rFonts w:ascii="宋体"/>
          <w:sz w:val="24"/>
        </w:rPr>
      </w:pPr>
    </w:p>
    <w:p>
      <w:pPr>
        <w:snapToGrid w:val="0"/>
        <w:spacing w:line="360" w:lineRule="auto"/>
        <w:jc w:val="center"/>
        <w:rPr>
          <w:rFonts w:ascii="宋体"/>
          <w:sz w:val="24"/>
        </w:rPr>
      </w:pPr>
    </w:p>
    <w:p>
      <w:pPr>
        <w:snapToGrid w:val="0"/>
        <w:spacing w:line="360" w:lineRule="auto"/>
        <w:jc w:val="center"/>
        <w:rPr>
          <w:rFonts w:ascii="宋体"/>
          <w:b/>
          <w:sz w:val="44"/>
          <w:szCs w:val="44"/>
        </w:rPr>
      </w:pPr>
    </w:p>
    <w:p>
      <w:pPr>
        <w:snapToGrid w:val="0"/>
        <w:spacing w:line="360" w:lineRule="auto"/>
        <w:jc w:val="center"/>
        <w:rPr>
          <w:rFonts w:ascii="宋体" w:hAnsi="宋体"/>
          <w:b/>
          <w:sz w:val="44"/>
          <w:szCs w:val="44"/>
        </w:rPr>
      </w:pPr>
      <w:r>
        <w:rPr>
          <w:rFonts w:hint="eastAsia" w:ascii="宋体" w:hAnsi="宋体"/>
          <w:b/>
          <w:sz w:val="44"/>
          <w:szCs w:val="44"/>
        </w:rPr>
        <w:t>绿色设计产品评价</w:t>
      </w:r>
      <w:r>
        <w:rPr>
          <w:rFonts w:hint="eastAsia" w:ascii="宋体" w:hAnsi="宋体"/>
          <w:b/>
          <w:sz w:val="44"/>
          <w:szCs w:val="44"/>
          <w:lang w:eastAsia="zh-CN"/>
        </w:rPr>
        <w:t>技术</w:t>
      </w:r>
      <w:r>
        <w:rPr>
          <w:rFonts w:hint="eastAsia" w:ascii="宋体" w:hAnsi="宋体"/>
          <w:b/>
          <w:sz w:val="44"/>
          <w:szCs w:val="44"/>
        </w:rPr>
        <w:t>规范 门窗用塑料型材</w:t>
      </w:r>
    </w:p>
    <w:p>
      <w:pPr>
        <w:snapToGrid w:val="0"/>
        <w:spacing w:line="360" w:lineRule="auto"/>
        <w:rPr>
          <w:rFonts w:ascii="宋体" w:hAnsi="宋体"/>
          <w:b/>
          <w:sz w:val="44"/>
          <w:szCs w:val="44"/>
        </w:rPr>
      </w:pPr>
    </w:p>
    <w:p>
      <w:pPr>
        <w:snapToGrid w:val="0"/>
        <w:spacing w:line="360" w:lineRule="auto"/>
        <w:jc w:val="center"/>
        <w:rPr>
          <w:rFonts w:ascii="宋体"/>
          <w:b/>
          <w:sz w:val="44"/>
          <w:szCs w:val="44"/>
        </w:rPr>
      </w:pPr>
      <w:r>
        <w:rPr>
          <w:rFonts w:hint="eastAsia" w:ascii="宋体" w:hAnsi="宋体"/>
          <w:b/>
          <w:sz w:val="44"/>
          <w:szCs w:val="44"/>
        </w:rPr>
        <w:t>编制说明</w:t>
      </w:r>
      <w:bookmarkStart w:id="9" w:name="_GoBack"/>
      <w:bookmarkEnd w:id="9"/>
    </w:p>
    <w:p>
      <w:pPr>
        <w:snapToGrid w:val="0"/>
        <w:spacing w:line="360" w:lineRule="auto"/>
        <w:jc w:val="center"/>
        <w:rPr>
          <w:rFonts w:ascii="宋体"/>
          <w:sz w:val="24"/>
        </w:rPr>
      </w:pPr>
    </w:p>
    <w:p>
      <w:pPr>
        <w:snapToGrid w:val="0"/>
        <w:spacing w:line="360" w:lineRule="auto"/>
        <w:jc w:val="center"/>
        <w:rPr>
          <w:rFonts w:ascii="宋体"/>
          <w:sz w:val="24"/>
        </w:rPr>
      </w:pPr>
    </w:p>
    <w:p>
      <w:pPr>
        <w:snapToGrid w:val="0"/>
        <w:spacing w:line="360" w:lineRule="auto"/>
        <w:jc w:val="center"/>
        <w:rPr>
          <w:rFonts w:ascii="宋体"/>
          <w:sz w:val="24"/>
        </w:rPr>
      </w:pPr>
    </w:p>
    <w:p>
      <w:pPr>
        <w:snapToGrid w:val="0"/>
        <w:spacing w:line="360" w:lineRule="auto"/>
        <w:jc w:val="center"/>
        <w:rPr>
          <w:rFonts w:ascii="宋体"/>
          <w:sz w:val="24"/>
        </w:rPr>
      </w:pPr>
    </w:p>
    <w:p>
      <w:pPr>
        <w:snapToGrid w:val="0"/>
        <w:spacing w:line="360" w:lineRule="auto"/>
        <w:jc w:val="center"/>
        <w:rPr>
          <w:rFonts w:ascii="宋体"/>
          <w:sz w:val="24"/>
        </w:rPr>
      </w:pPr>
    </w:p>
    <w:p>
      <w:pPr>
        <w:snapToGrid w:val="0"/>
        <w:spacing w:line="360" w:lineRule="auto"/>
        <w:jc w:val="center"/>
        <w:rPr>
          <w:rFonts w:ascii="宋体"/>
          <w:sz w:val="24"/>
        </w:rPr>
      </w:pPr>
    </w:p>
    <w:p>
      <w:pPr>
        <w:snapToGrid w:val="0"/>
        <w:spacing w:line="360" w:lineRule="auto"/>
        <w:jc w:val="center"/>
        <w:rPr>
          <w:rFonts w:ascii="宋体"/>
          <w:sz w:val="24"/>
        </w:rPr>
      </w:pPr>
    </w:p>
    <w:p>
      <w:pPr>
        <w:snapToGrid w:val="0"/>
        <w:spacing w:line="360" w:lineRule="auto"/>
        <w:jc w:val="center"/>
        <w:rPr>
          <w:rFonts w:ascii="宋体"/>
          <w:sz w:val="24"/>
        </w:rPr>
      </w:pPr>
    </w:p>
    <w:p>
      <w:pPr>
        <w:snapToGrid w:val="0"/>
        <w:spacing w:line="360" w:lineRule="auto"/>
        <w:jc w:val="center"/>
        <w:rPr>
          <w:rFonts w:ascii="宋体"/>
          <w:sz w:val="24"/>
        </w:rPr>
      </w:pPr>
    </w:p>
    <w:p>
      <w:pPr>
        <w:snapToGrid w:val="0"/>
        <w:spacing w:line="360" w:lineRule="auto"/>
        <w:jc w:val="center"/>
        <w:rPr>
          <w:rFonts w:ascii="宋体"/>
          <w:sz w:val="24"/>
        </w:rPr>
      </w:pPr>
    </w:p>
    <w:p>
      <w:pPr>
        <w:snapToGrid w:val="0"/>
        <w:spacing w:line="360" w:lineRule="auto"/>
        <w:rPr>
          <w:rFonts w:ascii="宋体"/>
          <w:sz w:val="24"/>
        </w:rPr>
      </w:pPr>
    </w:p>
    <w:p>
      <w:pPr>
        <w:snapToGrid w:val="0"/>
        <w:spacing w:line="360" w:lineRule="auto"/>
        <w:jc w:val="center"/>
        <w:rPr>
          <w:rFonts w:ascii="宋体"/>
          <w:sz w:val="24"/>
          <w:szCs w:val="24"/>
        </w:rPr>
      </w:pPr>
    </w:p>
    <w:p>
      <w:pPr>
        <w:snapToGrid w:val="0"/>
        <w:spacing w:line="360" w:lineRule="auto"/>
        <w:jc w:val="center"/>
        <w:rPr>
          <w:rFonts w:ascii="宋体"/>
          <w:sz w:val="24"/>
          <w:szCs w:val="24"/>
        </w:rPr>
      </w:pPr>
    </w:p>
    <w:p>
      <w:pPr>
        <w:snapToGrid w:val="0"/>
        <w:spacing w:line="360" w:lineRule="auto"/>
        <w:jc w:val="center"/>
        <w:rPr>
          <w:sz w:val="24"/>
          <w:szCs w:val="24"/>
        </w:rPr>
      </w:pPr>
      <w:r>
        <w:rPr>
          <w:rFonts w:hint="eastAsia" w:ascii="宋体"/>
          <w:sz w:val="24"/>
          <w:szCs w:val="24"/>
        </w:rPr>
        <w:t>201</w:t>
      </w:r>
      <w:r>
        <w:rPr>
          <w:rFonts w:hint="eastAsia" w:ascii="宋体"/>
          <w:sz w:val="24"/>
          <w:szCs w:val="24"/>
          <w:lang w:val="en-US" w:eastAsia="zh-CN"/>
        </w:rPr>
        <w:t>9</w:t>
      </w:r>
      <w:r>
        <w:rPr>
          <w:rFonts w:hint="eastAsia" w:ascii="宋体"/>
          <w:sz w:val="24"/>
          <w:szCs w:val="24"/>
        </w:rPr>
        <w:t>-</w:t>
      </w:r>
      <w:r>
        <w:rPr>
          <w:rFonts w:hint="eastAsia" w:ascii="宋体"/>
          <w:sz w:val="24"/>
          <w:szCs w:val="24"/>
          <w:lang w:val="en-US" w:eastAsia="zh-CN"/>
        </w:rPr>
        <w:t>3</w:t>
      </w:r>
      <w:r>
        <w:rPr>
          <w:rFonts w:hint="eastAsia" w:ascii="宋体"/>
          <w:sz w:val="24"/>
          <w:szCs w:val="24"/>
        </w:rPr>
        <w:t>-</w:t>
      </w:r>
      <w:r>
        <w:rPr>
          <w:rFonts w:hint="eastAsia" w:ascii="宋体"/>
          <w:sz w:val="24"/>
          <w:szCs w:val="24"/>
          <w:lang w:val="en-US" w:eastAsia="zh-CN"/>
        </w:rPr>
        <w:t>15</w:t>
      </w:r>
      <w:r>
        <w:br w:type="page"/>
      </w:r>
      <w:r>
        <w:rPr>
          <w:rFonts w:hint="eastAsia" w:ascii="黑体" w:hAnsi="黑体" w:eastAsia="黑体" w:cs="宋体"/>
          <w:b/>
          <w:kern w:val="0"/>
          <w:sz w:val="32"/>
          <w:szCs w:val="32"/>
        </w:rPr>
        <w:t>一、工作简况（包括任务提出及归口、协作单位、起草人及分工等）</w:t>
      </w:r>
    </w:p>
    <w:p>
      <w:pPr>
        <w:pStyle w:val="11"/>
        <w:spacing w:line="360" w:lineRule="auto"/>
        <w:ind w:left="420" w:leftChars="200" w:firstLine="0" w:firstLineChars="0"/>
        <w:rPr>
          <w:sz w:val="24"/>
          <w:szCs w:val="24"/>
        </w:rPr>
      </w:pPr>
      <w:r>
        <w:rPr>
          <w:rFonts w:hint="eastAsia"/>
          <w:sz w:val="24"/>
          <w:szCs w:val="24"/>
        </w:rPr>
        <w:t>1．任务提出及归口</w:t>
      </w:r>
    </w:p>
    <w:p>
      <w:pPr>
        <w:pStyle w:val="11"/>
        <w:spacing w:line="360" w:lineRule="auto"/>
        <w:ind w:firstLine="480"/>
        <w:rPr>
          <w:rFonts w:ascii="Times New Roman"/>
          <w:kern w:val="2"/>
          <w:sz w:val="24"/>
          <w:szCs w:val="24"/>
        </w:rPr>
      </w:pPr>
      <w:r>
        <w:rPr>
          <w:rFonts w:hint="eastAsia" w:ascii="Times New Roman"/>
          <w:kern w:val="2"/>
          <w:sz w:val="24"/>
          <w:szCs w:val="24"/>
        </w:rPr>
        <w:t>本标准由中国轻工业联合会提出。</w:t>
      </w:r>
    </w:p>
    <w:p>
      <w:pPr>
        <w:pStyle w:val="11"/>
        <w:spacing w:line="440" w:lineRule="exact"/>
        <w:ind w:firstLine="480"/>
        <w:rPr>
          <w:rFonts w:ascii="Times New Roman"/>
          <w:kern w:val="2"/>
          <w:sz w:val="24"/>
          <w:szCs w:val="24"/>
        </w:rPr>
      </w:pPr>
      <w:r>
        <w:rPr>
          <w:rFonts w:hint="eastAsia" w:ascii="Times New Roman"/>
          <w:kern w:val="2"/>
          <w:sz w:val="24"/>
          <w:szCs w:val="24"/>
        </w:rPr>
        <w:t>本标准由中国轻工业联合会归口。</w:t>
      </w:r>
    </w:p>
    <w:p>
      <w:pPr>
        <w:pStyle w:val="11"/>
        <w:spacing w:line="440" w:lineRule="exact"/>
        <w:ind w:firstLine="480"/>
        <w:rPr>
          <w:rFonts w:ascii="Times New Roman"/>
          <w:color w:val="FF0000"/>
          <w:kern w:val="2"/>
          <w:sz w:val="24"/>
          <w:szCs w:val="24"/>
        </w:rPr>
      </w:pPr>
      <w:r>
        <w:rPr>
          <w:rFonts w:hint="eastAsia" w:ascii="Times New Roman"/>
          <w:kern w:val="2"/>
          <w:sz w:val="24"/>
          <w:szCs w:val="24"/>
        </w:rPr>
        <w:t>牵头起草单位通过中国轻工业联合会申报了“绿色设计产品评价规范 门窗用塑料型材”团体标准计划，并获中国轻工业联合会批准，标准计划编号为：2017005。</w:t>
      </w:r>
    </w:p>
    <w:p>
      <w:pPr>
        <w:numPr>
          <w:ilvl w:val="0"/>
          <w:numId w:val="3"/>
        </w:numPr>
        <w:spacing w:line="360" w:lineRule="auto"/>
        <w:ind w:firstLine="465"/>
        <w:rPr>
          <w:sz w:val="24"/>
          <w:szCs w:val="24"/>
        </w:rPr>
      </w:pPr>
      <w:r>
        <w:rPr>
          <w:rFonts w:hint="eastAsia"/>
          <w:sz w:val="24"/>
          <w:szCs w:val="24"/>
        </w:rPr>
        <w:t>起草单位与起草人</w:t>
      </w:r>
    </w:p>
    <w:p>
      <w:pPr>
        <w:pStyle w:val="13"/>
        <w:spacing w:line="360" w:lineRule="auto"/>
        <w:ind w:firstLine="480"/>
        <w:rPr>
          <w:sz w:val="24"/>
          <w:szCs w:val="24"/>
        </w:rPr>
      </w:pPr>
      <w:r>
        <w:rPr>
          <w:rFonts w:hint="eastAsia"/>
          <w:sz w:val="24"/>
          <w:szCs w:val="24"/>
        </w:rPr>
        <w:t>本标准起草单位主要有：浙江中财型材有限责任公司、华之杰塑料建材有限公司、山西中德塑钢型材有限责任公司、西安高科建材科技有限公司、河南省天鹅型材有限公司、安徽雄峰实业有限公司、包头稀土研究院、华塑建材有限公司、北京工商大学、中国塑料加工工业协会异型材及门窗制品专业委员会、国家化学建筑材料测试中心（材料测试部）。</w:t>
      </w:r>
    </w:p>
    <w:p>
      <w:pPr>
        <w:spacing w:line="360" w:lineRule="auto"/>
        <w:ind w:firstLine="465"/>
        <w:rPr>
          <w:sz w:val="24"/>
          <w:szCs w:val="24"/>
        </w:rPr>
      </w:pPr>
      <w:r>
        <w:rPr>
          <w:rFonts w:hint="eastAsia"/>
          <w:sz w:val="24"/>
          <w:szCs w:val="24"/>
        </w:rPr>
        <w:t>本标准起草人主要有</w:t>
      </w:r>
      <w:r>
        <w:rPr>
          <w:rFonts w:hint="eastAsia"/>
        </w:rPr>
        <w:t>：</w:t>
      </w:r>
      <w:r>
        <w:rPr>
          <w:rFonts w:hint="eastAsia"/>
          <w:sz w:val="24"/>
          <w:szCs w:val="24"/>
        </w:rPr>
        <w:t>潘晓华、</w:t>
      </w:r>
      <w:r>
        <w:rPr>
          <w:rFonts w:hint="eastAsia"/>
          <w:sz w:val="24"/>
          <w:szCs w:val="24"/>
          <w:lang w:eastAsia="zh-CN"/>
        </w:rPr>
        <w:t>黄生友、</w:t>
      </w:r>
      <w:r>
        <w:rPr>
          <w:rFonts w:hint="eastAsia"/>
          <w:sz w:val="24"/>
          <w:szCs w:val="24"/>
        </w:rPr>
        <w:t>李荣顺、</w:t>
      </w:r>
      <w:r>
        <w:rPr>
          <w:rFonts w:hint="eastAsia"/>
          <w:sz w:val="24"/>
          <w:szCs w:val="24"/>
          <w:lang w:eastAsia="zh-CN"/>
        </w:rPr>
        <w:t>蒋华庭、</w:t>
      </w:r>
      <w:r>
        <w:rPr>
          <w:rFonts w:hint="eastAsia"/>
          <w:sz w:val="24"/>
          <w:szCs w:val="24"/>
        </w:rPr>
        <w:t>张军、</w:t>
      </w:r>
      <w:r>
        <w:rPr>
          <w:rFonts w:hint="eastAsia"/>
          <w:sz w:val="24"/>
          <w:szCs w:val="24"/>
          <w:lang w:eastAsia="zh-CN"/>
        </w:rPr>
        <w:t>杨明球、苗小冬、</w:t>
      </w:r>
      <w:r>
        <w:rPr>
          <w:rFonts w:hint="eastAsia"/>
          <w:sz w:val="24"/>
          <w:szCs w:val="24"/>
        </w:rPr>
        <w:t>李本立、程淑军、储险峰、曹鸿</w:t>
      </w:r>
      <w:r>
        <w:rPr>
          <w:rFonts w:hint="eastAsia"/>
          <w:sz w:val="24"/>
          <w:szCs w:val="24"/>
          <w:lang w:eastAsia="zh-CN"/>
        </w:rPr>
        <w:t>璋</w:t>
      </w:r>
      <w:r>
        <w:rPr>
          <w:rFonts w:hint="eastAsia"/>
          <w:sz w:val="24"/>
          <w:szCs w:val="24"/>
        </w:rPr>
        <w:t>、何德强、靳玉娟、李静霞、胡孝义</w:t>
      </w:r>
      <w:r>
        <w:rPr>
          <w:rFonts w:hint="eastAsia" w:hAnsi="宋体"/>
          <w:sz w:val="24"/>
        </w:rPr>
        <w:t>。</w:t>
      </w:r>
    </w:p>
    <w:p>
      <w:pPr>
        <w:spacing w:line="360" w:lineRule="auto"/>
        <w:ind w:firstLine="465"/>
        <w:rPr>
          <w:rFonts w:hAnsi="宋体"/>
          <w:sz w:val="24"/>
        </w:rPr>
      </w:pPr>
      <w:r>
        <w:rPr>
          <w:rFonts w:hint="eastAsia" w:hAnsi="宋体"/>
          <w:sz w:val="24"/>
        </w:rPr>
        <w:t>主要分工：靳玉娟主要负责本标准的起草工作</w:t>
      </w:r>
      <w:r>
        <w:rPr>
          <w:rFonts w:hint="eastAsia" w:hAnsi="宋体"/>
          <w:sz w:val="24"/>
          <w:lang w:eastAsia="zh-CN"/>
        </w:rPr>
        <w:t>和协调工作</w:t>
      </w:r>
      <w:r>
        <w:rPr>
          <w:rFonts w:hint="eastAsia" w:hAnsi="宋体"/>
          <w:sz w:val="24"/>
        </w:rPr>
        <w:t>，</w:t>
      </w:r>
      <w:r>
        <w:rPr>
          <w:rFonts w:hint="eastAsia"/>
          <w:sz w:val="24"/>
          <w:szCs w:val="24"/>
        </w:rPr>
        <w:t>潘晓华、</w:t>
      </w:r>
      <w:r>
        <w:rPr>
          <w:rFonts w:hint="eastAsia"/>
          <w:sz w:val="24"/>
          <w:szCs w:val="24"/>
          <w:lang w:eastAsia="zh-CN"/>
        </w:rPr>
        <w:t>黄生友、</w:t>
      </w:r>
      <w:r>
        <w:rPr>
          <w:rFonts w:hint="eastAsia"/>
          <w:sz w:val="24"/>
          <w:szCs w:val="24"/>
        </w:rPr>
        <w:t>李荣顺、</w:t>
      </w:r>
      <w:r>
        <w:rPr>
          <w:rFonts w:hint="eastAsia"/>
          <w:sz w:val="24"/>
          <w:szCs w:val="24"/>
          <w:lang w:eastAsia="zh-CN"/>
        </w:rPr>
        <w:t>蒋华庭、</w:t>
      </w:r>
      <w:r>
        <w:rPr>
          <w:rFonts w:hint="eastAsia"/>
          <w:sz w:val="24"/>
          <w:szCs w:val="24"/>
        </w:rPr>
        <w:t>张军、</w:t>
      </w:r>
      <w:r>
        <w:rPr>
          <w:rFonts w:hint="eastAsia"/>
          <w:sz w:val="24"/>
          <w:szCs w:val="24"/>
          <w:lang w:eastAsia="zh-CN"/>
        </w:rPr>
        <w:t>杨明球、苗小冬、</w:t>
      </w:r>
      <w:r>
        <w:rPr>
          <w:rFonts w:hint="eastAsia"/>
          <w:sz w:val="24"/>
          <w:szCs w:val="24"/>
        </w:rPr>
        <w:t>李本立、程淑军、储险峰、曹鸿</w:t>
      </w:r>
      <w:r>
        <w:rPr>
          <w:rFonts w:hint="eastAsia"/>
          <w:sz w:val="24"/>
          <w:szCs w:val="24"/>
          <w:lang w:eastAsia="zh-CN"/>
        </w:rPr>
        <w:t>璋</w:t>
      </w:r>
      <w:r>
        <w:rPr>
          <w:rFonts w:hint="eastAsia"/>
          <w:sz w:val="24"/>
          <w:szCs w:val="24"/>
        </w:rPr>
        <w:t>、何德强、李静霞、胡孝义</w:t>
      </w:r>
      <w:r>
        <w:rPr>
          <w:rFonts w:hint="eastAsia"/>
          <w:sz w:val="24"/>
          <w:szCs w:val="24"/>
          <w:lang w:eastAsia="zh-CN"/>
        </w:rPr>
        <w:t>负责本标准的实验验证和数据收集工作</w:t>
      </w:r>
      <w:r>
        <w:rPr>
          <w:rFonts w:hint="eastAsia" w:hAnsi="宋体"/>
          <w:sz w:val="24"/>
        </w:rPr>
        <w:t>。</w:t>
      </w:r>
    </w:p>
    <w:p>
      <w:pPr>
        <w:spacing w:line="360" w:lineRule="auto"/>
        <w:ind w:firstLine="480" w:firstLineChars="200"/>
        <w:rPr>
          <w:sz w:val="24"/>
          <w:szCs w:val="24"/>
        </w:rPr>
      </w:pPr>
      <w:r>
        <w:rPr>
          <w:rFonts w:hint="eastAsia"/>
          <w:sz w:val="24"/>
          <w:szCs w:val="24"/>
        </w:rPr>
        <w:t>3</w:t>
      </w:r>
      <w:r>
        <w:rPr>
          <w:sz w:val="24"/>
          <w:szCs w:val="24"/>
        </w:rPr>
        <w:t xml:space="preserve">. </w:t>
      </w:r>
      <w:r>
        <w:rPr>
          <w:rFonts w:hint="eastAsia"/>
          <w:sz w:val="24"/>
          <w:szCs w:val="24"/>
        </w:rPr>
        <w:t>编制过程</w:t>
      </w:r>
    </w:p>
    <w:p>
      <w:pPr>
        <w:spacing w:line="360" w:lineRule="auto"/>
        <w:ind w:firstLine="465"/>
        <w:rPr>
          <w:sz w:val="24"/>
          <w:szCs w:val="24"/>
        </w:rPr>
      </w:pPr>
      <w:r>
        <w:rPr>
          <w:rFonts w:hint="eastAsia"/>
          <w:sz w:val="24"/>
          <w:szCs w:val="24"/>
        </w:rPr>
        <w:t>2017年10月，由北京工商大学牵头，中国塑料加工工业协会异型材及门窗制品专业委员会以及相关单位组成了标准起草工作组，并就各自负责工作进行了分工，在收集国内外资料以及中国标准研究院起草的GB/T 33761-2017“绿色产品评价标准编制通则”的</w:t>
      </w:r>
      <w:r>
        <w:rPr>
          <w:sz w:val="24"/>
          <w:szCs w:val="24"/>
        </w:rPr>
        <w:t>基础上，初步完成了标准草稿，并开始申请</w:t>
      </w:r>
      <w:r>
        <w:rPr>
          <w:rFonts w:hint="eastAsia"/>
          <w:sz w:val="24"/>
          <w:szCs w:val="24"/>
        </w:rPr>
        <w:t>团体</w:t>
      </w:r>
      <w:r>
        <w:rPr>
          <w:sz w:val="24"/>
          <w:szCs w:val="24"/>
        </w:rPr>
        <w:t>标准计划。</w:t>
      </w:r>
    </w:p>
    <w:p>
      <w:pPr>
        <w:spacing w:line="360" w:lineRule="auto"/>
        <w:ind w:firstLine="480" w:firstLineChars="200"/>
        <w:rPr>
          <w:sz w:val="24"/>
          <w:szCs w:val="24"/>
        </w:rPr>
      </w:pPr>
      <w:r>
        <w:rPr>
          <w:rFonts w:hint="eastAsia"/>
          <w:sz w:val="24"/>
          <w:szCs w:val="24"/>
        </w:rPr>
        <w:t>2017年12月，中国轻工业联合会下达了“绿色设计产品评价规范 门窗用塑料型材”（ 2017005）团体标准计划任务。在接到标准计划任务后，工作组在北京召开标准讨论会，对前期标准工作情况进行进一步讨论，</w:t>
      </w:r>
      <w:r>
        <w:rPr>
          <w:rFonts w:hint="eastAsia"/>
          <w:sz w:val="24"/>
          <w:szCs w:val="24"/>
          <w:lang w:eastAsia="zh-CN"/>
        </w:rPr>
        <w:t>向企业征集样品进行相关测试，</w:t>
      </w:r>
      <w:r>
        <w:rPr>
          <w:rFonts w:hint="eastAsia"/>
          <w:sz w:val="24"/>
          <w:szCs w:val="24"/>
        </w:rPr>
        <w:t>并向相关生产企业发送标准调查问卷，对于标准中设置的各项基本要求和指标要求进行调查和总结，了解本标准指标设置的行业水平。对本标准的主要内容设置，从企业和产品的基本要求和指标要求进行研究，制定了标准讨论稿。</w:t>
      </w:r>
    </w:p>
    <w:p>
      <w:pPr>
        <w:spacing w:line="360" w:lineRule="auto"/>
        <w:rPr>
          <w:rFonts w:hint="eastAsia" w:ascii="黑体" w:hAnsi="黑体" w:eastAsia="黑体" w:cs="宋体"/>
          <w:b/>
          <w:kern w:val="0"/>
          <w:sz w:val="32"/>
          <w:szCs w:val="32"/>
        </w:rPr>
      </w:pPr>
      <w:bookmarkStart w:id="0" w:name="OLE_LINK19"/>
      <w:bookmarkStart w:id="1" w:name="OLE_LINK20"/>
      <w:bookmarkStart w:id="2" w:name="OLE_LINK18"/>
      <w:bookmarkStart w:id="3" w:name="OLE_LINK17"/>
      <w:r>
        <w:rPr>
          <w:rFonts w:hint="eastAsia" w:ascii="黑体" w:hAnsi="黑体" w:eastAsia="黑体" w:cs="宋体"/>
          <w:b/>
          <w:kern w:val="0"/>
          <w:sz w:val="32"/>
          <w:szCs w:val="32"/>
        </w:rPr>
        <w:t>二．国家标准编制原则</w:t>
      </w:r>
      <w:bookmarkEnd w:id="0"/>
      <w:bookmarkEnd w:id="1"/>
      <w:r>
        <w:rPr>
          <w:rFonts w:hint="eastAsia" w:ascii="黑体" w:hAnsi="黑体" w:eastAsia="黑体" w:cs="宋体"/>
          <w:b/>
          <w:kern w:val="0"/>
          <w:sz w:val="32"/>
          <w:szCs w:val="32"/>
        </w:rPr>
        <w:t>和</w:t>
      </w:r>
      <w:bookmarkStart w:id="4" w:name="OLE_LINK27"/>
      <w:bookmarkStart w:id="5" w:name="OLE_LINK28"/>
      <w:bookmarkStart w:id="6" w:name="OLE_LINK26"/>
      <w:r>
        <w:rPr>
          <w:rFonts w:hint="eastAsia" w:ascii="黑体" w:hAnsi="黑体" w:eastAsia="黑体" w:cs="宋体"/>
          <w:b/>
          <w:kern w:val="0"/>
          <w:sz w:val="32"/>
          <w:szCs w:val="32"/>
        </w:rPr>
        <w:t>确定国家标准主要内容的论据</w:t>
      </w:r>
      <w:bookmarkEnd w:id="2"/>
      <w:bookmarkEnd w:id="3"/>
      <w:bookmarkEnd w:id="4"/>
      <w:bookmarkEnd w:id="5"/>
      <w:bookmarkEnd w:id="6"/>
    </w:p>
    <w:p>
      <w:pPr>
        <w:spacing w:line="360" w:lineRule="auto"/>
        <w:rPr>
          <w:sz w:val="24"/>
          <w:szCs w:val="24"/>
        </w:rPr>
      </w:pPr>
      <w:r>
        <w:rPr>
          <w:rFonts w:hint="eastAsia"/>
          <w:sz w:val="24"/>
          <w:szCs w:val="24"/>
        </w:rPr>
        <w:t>1. 标准编制原则</w:t>
      </w:r>
    </w:p>
    <w:p>
      <w:pPr>
        <w:spacing w:line="360" w:lineRule="auto"/>
        <w:ind w:firstLine="465"/>
        <w:rPr>
          <w:sz w:val="24"/>
          <w:szCs w:val="24"/>
        </w:rPr>
      </w:pPr>
      <w:r>
        <w:rPr>
          <w:rFonts w:hint="eastAsia"/>
          <w:sz w:val="24"/>
          <w:szCs w:val="24"/>
        </w:rPr>
        <w:t>本标</w:t>
      </w:r>
      <w:r>
        <w:rPr>
          <w:sz w:val="24"/>
          <w:szCs w:val="24"/>
        </w:rPr>
        <w:t>准</w:t>
      </w:r>
      <w:r>
        <w:rPr>
          <w:rFonts w:hint="eastAsia"/>
          <w:sz w:val="24"/>
          <w:szCs w:val="24"/>
        </w:rPr>
        <w:t>依据GB/T 33761-2017绿色产品评价标准编制通则，</w:t>
      </w:r>
      <w:r>
        <w:rPr>
          <w:sz w:val="24"/>
          <w:szCs w:val="24"/>
        </w:rPr>
        <w:t>按照</w:t>
      </w:r>
      <w:r>
        <w:rPr>
          <w:rFonts w:hint="eastAsia"/>
          <w:sz w:val="24"/>
          <w:szCs w:val="24"/>
        </w:rPr>
        <w:t>GB/T 1.1-2009要求的原则进行编写。</w:t>
      </w:r>
    </w:p>
    <w:p>
      <w:pPr>
        <w:spacing w:line="360" w:lineRule="auto"/>
        <w:rPr>
          <w:rFonts w:hint="eastAsia" w:eastAsia="宋体"/>
          <w:sz w:val="24"/>
          <w:szCs w:val="24"/>
          <w:lang w:eastAsia="zh-CN"/>
        </w:rPr>
      </w:pPr>
      <w:r>
        <w:rPr>
          <w:rFonts w:hint="eastAsia"/>
          <w:sz w:val="24"/>
          <w:szCs w:val="24"/>
        </w:rPr>
        <w:t xml:space="preserve">2. </w:t>
      </w:r>
      <w:r>
        <w:rPr>
          <w:rFonts w:hint="eastAsia"/>
          <w:sz w:val="24"/>
          <w:szCs w:val="24"/>
          <w:lang w:eastAsia="zh-CN"/>
        </w:rPr>
        <w:t>标准的编制意义</w:t>
      </w:r>
    </w:p>
    <w:p>
      <w:pPr>
        <w:pStyle w:val="11"/>
        <w:spacing w:line="360" w:lineRule="auto"/>
        <w:ind w:firstLine="480"/>
        <w:jc w:val="left"/>
        <w:rPr>
          <w:rFonts w:hint="eastAsia" w:ascii="Times New Roman"/>
          <w:kern w:val="2"/>
          <w:sz w:val="24"/>
          <w:szCs w:val="24"/>
        </w:rPr>
      </w:pPr>
      <w:r>
        <w:rPr>
          <w:rFonts w:hint="eastAsia" w:ascii="Times New Roman"/>
          <w:kern w:val="2"/>
          <w:sz w:val="24"/>
          <w:szCs w:val="24"/>
        </w:rPr>
        <w:t>近年来，</w:t>
      </w:r>
      <w:r>
        <w:rPr>
          <w:rFonts w:hint="eastAsia"/>
          <w:sz w:val="24"/>
          <w:szCs w:val="24"/>
        </w:rPr>
        <w:t>门窗用塑料型材</w:t>
      </w:r>
      <w:r>
        <w:rPr>
          <w:rFonts w:hint="eastAsia" w:ascii="Times New Roman"/>
          <w:kern w:val="2"/>
          <w:sz w:val="24"/>
          <w:szCs w:val="24"/>
        </w:rPr>
        <w:t>的发展出现了新的形势，如：</w:t>
      </w:r>
      <w:r>
        <w:rPr>
          <w:rFonts w:hint="eastAsia"/>
          <w:sz w:val="24"/>
          <w:szCs w:val="24"/>
        </w:rPr>
        <w:t>门窗用塑料型材</w:t>
      </w:r>
      <w:r>
        <w:rPr>
          <w:rFonts w:hint="eastAsia" w:ascii="Times New Roman"/>
          <w:kern w:val="2"/>
          <w:sz w:val="24"/>
          <w:szCs w:val="24"/>
        </w:rPr>
        <w:t>的原料来源、对人身健康的安全、废弃后对环境的安全、节能等成了人们及其行业关注的热点。</w:t>
      </w:r>
      <w:r>
        <w:rPr>
          <w:rFonts w:ascii="Times New Roman"/>
          <w:kern w:val="2"/>
          <w:sz w:val="24"/>
          <w:szCs w:val="24"/>
        </w:rPr>
        <w:t>本</w:t>
      </w:r>
      <w:r>
        <w:rPr>
          <w:rFonts w:hint="eastAsia" w:ascii="Times New Roman"/>
          <w:kern w:val="2"/>
          <w:sz w:val="24"/>
          <w:szCs w:val="24"/>
        </w:rPr>
        <w:t>标准围绕</w:t>
      </w:r>
      <w:r>
        <w:rPr>
          <w:rFonts w:hint="eastAsia"/>
          <w:sz w:val="24"/>
          <w:szCs w:val="24"/>
        </w:rPr>
        <w:t>门窗用塑料型材</w:t>
      </w:r>
      <w:r>
        <w:rPr>
          <w:rFonts w:hint="eastAsia" w:ascii="Times New Roman"/>
          <w:kern w:val="2"/>
          <w:sz w:val="24"/>
          <w:szCs w:val="24"/>
        </w:rPr>
        <w:t>对人身健康安全、节能与环保开展，体现高端引领的原则，使得评价出的</w:t>
      </w:r>
      <w:r>
        <w:rPr>
          <w:rFonts w:hint="eastAsia"/>
          <w:sz w:val="24"/>
          <w:szCs w:val="24"/>
        </w:rPr>
        <w:t>门窗用塑料型材</w:t>
      </w:r>
      <w:r>
        <w:rPr>
          <w:rFonts w:hint="eastAsia" w:ascii="Times New Roman"/>
          <w:kern w:val="2"/>
          <w:sz w:val="24"/>
          <w:szCs w:val="24"/>
        </w:rPr>
        <w:t>能够在绿色竞争力方面达到国际领先水平，满足绿色产品评价通则关于评价原则、评价指标体系框架、指标选取、评价方法的要求。</w:t>
      </w:r>
    </w:p>
    <w:p>
      <w:pPr>
        <w:pStyle w:val="11"/>
        <w:spacing w:line="360" w:lineRule="auto"/>
        <w:ind w:firstLine="480"/>
        <w:jc w:val="left"/>
        <w:rPr>
          <w:rFonts w:ascii="Times New Roman"/>
          <w:kern w:val="2"/>
          <w:sz w:val="24"/>
          <w:szCs w:val="24"/>
        </w:rPr>
      </w:pPr>
      <w:r>
        <w:rPr>
          <w:rFonts w:hint="eastAsia" w:ascii="Times New Roman"/>
          <w:kern w:val="2"/>
          <w:sz w:val="24"/>
          <w:szCs w:val="24"/>
          <w:lang w:eastAsia="zh-CN"/>
        </w:rPr>
        <w:t>本标准的制定不仅可以</w:t>
      </w:r>
      <w:r>
        <w:rPr>
          <w:rFonts w:hint="eastAsia"/>
          <w:sz w:val="24"/>
          <w:szCs w:val="24"/>
        </w:rPr>
        <w:t>为绿色</w:t>
      </w:r>
      <w:r>
        <w:rPr>
          <w:rFonts w:hint="eastAsia"/>
          <w:sz w:val="24"/>
          <w:szCs w:val="24"/>
          <w:lang w:eastAsia="zh-CN"/>
        </w:rPr>
        <w:t>门窗用</w:t>
      </w:r>
      <w:r>
        <w:rPr>
          <w:rFonts w:hint="eastAsia"/>
          <w:sz w:val="24"/>
          <w:szCs w:val="24"/>
        </w:rPr>
        <w:t>塑料</w:t>
      </w:r>
      <w:r>
        <w:rPr>
          <w:rFonts w:hint="eastAsia"/>
          <w:sz w:val="24"/>
          <w:szCs w:val="24"/>
          <w:lang w:eastAsia="zh-CN"/>
        </w:rPr>
        <w:t>型材</w:t>
      </w:r>
      <w:r>
        <w:rPr>
          <w:rFonts w:hint="eastAsia"/>
          <w:sz w:val="24"/>
          <w:szCs w:val="24"/>
        </w:rPr>
        <w:t>的评价提供依据，</w:t>
      </w:r>
      <w:r>
        <w:rPr>
          <w:rFonts w:hint="eastAsia"/>
          <w:sz w:val="24"/>
          <w:szCs w:val="24"/>
          <w:lang w:eastAsia="zh-CN"/>
        </w:rPr>
        <w:t>而且还能</w:t>
      </w:r>
      <w:r>
        <w:rPr>
          <w:rFonts w:hint="eastAsia"/>
          <w:sz w:val="24"/>
          <w:szCs w:val="24"/>
        </w:rPr>
        <w:t>推动绿色低碳循环发展、健全绿色市场，增加绿色</w:t>
      </w:r>
      <w:r>
        <w:rPr>
          <w:rFonts w:hint="eastAsia"/>
          <w:sz w:val="24"/>
          <w:szCs w:val="24"/>
          <w:lang w:eastAsia="zh-CN"/>
        </w:rPr>
        <w:t>门窗用</w:t>
      </w:r>
      <w:r>
        <w:rPr>
          <w:rFonts w:hint="eastAsia"/>
          <w:sz w:val="24"/>
          <w:szCs w:val="24"/>
        </w:rPr>
        <w:t>塑料</w:t>
      </w:r>
      <w:r>
        <w:rPr>
          <w:rFonts w:hint="eastAsia"/>
          <w:sz w:val="24"/>
          <w:szCs w:val="24"/>
          <w:lang w:eastAsia="zh-CN"/>
        </w:rPr>
        <w:t>型材</w:t>
      </w:r>
      <w:r>
        <w:rPr>
          <w:rFonts w:hint="eastAsia"/>
          <w:sz w:val="24"/>
          <w:szCs w:val="24"/>
        </w:rPr>
        <w:t>供给质量和效率；加强供给侧结构改革、引导产业转型升级，提升“中国制造”竞争力；引领绿色消费、保障和改善民生，构建和谐社会；履行国际减排承诺、提升我国参与全球治理制度性话语权。</w:t>
      </w:r>
    </w:p>
    <w:p>
      <w:pPr>
        <w:spacing w:line="360" w:lineRule="auto"/>
        <w:rPr>
          <w:sz w:val="24"/>
          <w:szCs w:val="24"/>
        </w:rPr>
      </w:pPr>
      <w:r>
        <w:rPr>
          <w:rFonts w:hint="eastAsia"/>
          <w:sz w:val="24"/>
          <w:szCs w:val="24"/>
        </w:rPr>
        <w:t>3. 标准研究主要对象及内容</w:t>
      </w:r>
    </w:p>
    <w:p>
      <w:pPr>
        <w:pStyle w:val="11"/>
        <w:spacing w:line="360" w:lineRule="auto"/>
        <w:ind w:firstLine="456"/>
        <w:rPr>
          <w:rFonts w:hAnsi="宋体" w:cs="宋体"/>
          <w:spacing w:val="-6"/>
          <w:sz w:val="24"/>
          <w:szCs w:val="24"/>
        </w:rPr>
      </w:pPr>
      <w:r>
        <w:rPr>
          <w:rFonts w:hint="eastAsia" w:hAnsi="宋体" w:cs="宋体"/>
          <w:spacing w:val="-6"/>
          <w:sz w:val="24"/>
          <w:szCs w:val="24"/>
        </w:rPr>
        <w:t>本标准依</w:t>
      </w:r>
      <w:r>
        <w:rPr>
          <w:rFonts w:ascii="Times New Roman"/>
          <w:spacing w:val="-6"/>
          <w:sz w:val="24"/>
          <w:szCs w:val="24"/>
        </w:rPr>
        <w:t>据GB/T 33761-2017绿</w:t>
      </w:r>
      <w:r>
        <w:rPr>
          <w:rFonts w:hint="eastAsia" w:hAnsi="宋体" w:cs="宋体"/>
          <w:spacing w:val="-6"/>
          <w:sz w:val="24"/>
          <w:szCs w:val="24"/>
        </w:rPr>
        <w:t>色产品评价标准编制通则，主要分为以下</w:t>
      </w:r>
      <w:r>
        <w:rPr>
          <w:rFonts w:hint="eastAsia" w:hAnsi="宋体" w:cs="宋体"/>
          <w:spacing w:val="-6"/>
          <w:sz w:val="24"/>
          <w:szCs w:val="24"/>
          <w:lang w:eastAsia="zh-CN"/>
        </w:rPr>
        <w:t>六</w:t>
      </w:r>
      <w:r>
        <w:rPr>
          <w:rFonts w:hint="eastAsia" w:hAnsi="宋体" w:cs="宋体"/>
          <w:spacing w:val="-6"/>
          <w:sz w:val="24"/>
          <w:szCs w:val="24"/>
        </w:rPr>
        <w:t>个部分：</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sz w:val="24"/>
          <w:szCs w:val="24"/>
        </w:rPr>
      </w:pPr>
      <w:r>
        <w:rPr>
          <w:rFonts w:hint="eastAsia"/>
          <w:sz w:val="24"/>
          <w:szCs w:val="24"/>
        </w:rPr>
        <w:t>第一到</w:t>
      </w:r>
      <w:r>
        <w:rPr>
          <w:rFonts w:hint="eastAsia"/>
          <w:sz w:val="24"/>
          <w:szCs w:val="24"/>
          <w:lang w:eastAsia="zh-CN"/>
        </w:rPr>
        <w:t>三</w:t>
      </w:r>
      <w:r>
        <w:rPr>
          <w:rFonts w:hint="eastAsia"/>
          <w:sz w:val="24"/>
          <w:szCs w:val="24"/>
        </w:rPr>
        <w:t>部分，分别为范围、规范性引用文件</w:t>
      </w:r>
      <w:r>
        <w:rPr>
          <w:rFonts w:hint="eastAsia"/>
          <w:sz w:val="24"/>
          <w:szCs w:val="24"/>
          <w:lang w:eastAsia="zh-CN"/>
        </w:rPr>
        <w:t>、术语和定义</w:t>
      </w:r>
      <w:r>
        <w:rPr>
          <w:rFonts w:hint="eastAsia"/>
          <w:sz w:val="24"/>
          <w:szCs w:val="24"/>
        </w:rPr>
        <w:t>。</w:t>
      </w:r>
    </w:p>
    <w:p>
      <w:pPr>
        <w:pStyle w:val="11"/>
        <w:keepNext w:val="0"/>
        <w:keepLines w:val="0"/>
        <w:pageBreakBefore w:val="0"/>
        <w:kinsoku/>
        <w:wordWrap/>
        <w:overflowPunct/>
        <w:topLinePunct w:val="0"/>
        <w:bidi w:val="0"/>
        <w:adjustRightInd/>
        <w:snapToGrid/>
        <w:spacing w:line="360" w:lineRule="auto"/>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本标准规定了门窗用塑料型材绿色设计评价要求和评价方法。</w:t>
      </w:r>
    </w:p>
    <w:p>
      <w:pPr>
        <w:pStyle w:val="11"/>
        <w:keepNext w:val="0"/>
        <w:keepLines w:val="0"/>
        <w:pageBreakBefore w:val="0"/>
        <w:kinsoku/>
        <w:wordWrap/>
        <w:overflowPunct/>
        <w:topLinePunct w:val="0"/>
        <w:bidi w:val="0"/>
        <w:adjustRightInd/>
        <w:snapToGrid/>
        <w:spacing w:line="360" w:lineRule="auto"/>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本标准适用于所有门窗用塑料型材。</w:t>
      </w:r>
    </w:p>
    <w:p>
      <w:pPr>
        <w:spacing w:line="360" w:lineRule="auto"/>
        <w:ind w:firstLine="480" w:firstLineChars="200"/>
        <w:rPr>
          <w:rFonts w:hint="eastAsia"/>
          <w:sz w:val="24"/>
          <w:szCs w:val="24"/>
          <w:lang w:eastAsia="zh-CN"/>
        </w:rPr>
      </w:pPr>
      <w:r>
        <w:rPr>
          <w:rFonts w:hint="eastAsia"/>
          <w:sz w:val="24"/>
          <w:szCs w:val="24"/>
          <w:lang w:eastAsia="zh-CN"/>
        </w:rPr>
        <w:t>本标准制定过程中主要参考了以下标准：</w:t>
      </w:r>
    </w:p>
    <w:p>
      <w:pPr>
        <w:pStyle w:val="11"/>
        <w:rPr>
          <w:rFonts w:hint="default" w:eastAsia="宋体"/>
          <w:lang w:val="en-US" w:eastAsia="zh-CN"/>
        </w:rPr>
      </w:pPr>
      <w:r>
        <w:rPr>
          <w:rFonts w:hint="eastAsia"/>
          <w:lang w:val="en-US" w:eastAsia="zh-CN"/>
        </w:rPr>
        <w:t>GB/T 2406.2 塑料 用氧指数法测定燃烧行为 第2部分 室温试验</w:t>
      </w:r>
    </w:p>
    <w:p>
      <w:pPr>
        <w:pStyle w:val="11"/>
        <w:rPr>
          <w:rFonts w:hint="default" w:eastAsia="宋体"/>
          <w:lang w:val="en-US" w:eastAsia="zh-CN"/>
        </w:rPr>
      </w:pPr>
      <w:r>
        <w:rPr>
          <w:rFonts w:hint="eastAsia"/>
          <w:lang w:val="en-US" w:eastAsia="zh-CN"/>
        </w:rPr>
        <w:t>GB/T 4615 聚氯乙烯 残留氯乙烯单体的测定 气相色谱法</w:t>
      </w:r>
    </w:p>
    <w:p>
      <w:pPr>
        <w:pStyle w:val="11"/>
      </w:pPr>
      <w:r>
        <w:rPr>
          <w:rFonts w:hint="eastAsia"/>
        </w:rPr>
        <w:t>GB/T 8484 建筑外门窗保温性能分级及检测方法</w:t>
      </w:r>
    </w:p>
    <w:p>
      <w:pPr>
        <w:pStyle w:val="11"/>
      </w:pPr>
      <w:r>
        <w:rPr>
          <w:rFonts w:hint="eastAsia"/>
        </w:rPr>
        <w:t>GB/T</w:t>
      </w:r>
      <w:r>
        <w:t xml:space="preserve"> </w:t>
      </w:r>
      <w:r>
        <w:rPr>
          <w:rFonts w:hint="eastAsia"/>
        </w:rPr>
        <w:t>8814 门、窗用未增塑聚氯乙烯（PVC—U）型材</w:t>
      </w:r>
    </w:p>
    <w:p>
      <w:pPr>
        <w:pStyle w:val="11"/>
        <w:rPr>
          <w:rFonts w:hint="eastAsia"/>
        </w:rPr>
      </w:pPr>
      <w:r>
        <w:rPr>
          <w:rFonts w:hint="eastAsia"/>
        </w:rPr>
        <w:t>GB 8978 污水综合排放标准</w:t>
      </w:r>
    </w:p>
    <w:p>
      <w:pPr>
        <w:pStyle w:val="11"/>
        <w:rPr>
          <w:rFonts w:hint="eastAsia"/>
          <w:lang w:val="en-US" w:eastAsia="zh-CN"/>
        </w:rPr>
      </w:pPr>
      <w:r>
        <w:rPr>
          <w:rFonts w:hint="eastAsia"/>
          <w:lang w:val="en-US" w:eastAsia="zh-CN"/>
        </w:rPr>
        <w:t>GB/T 9345.5 塑料 灰分的测定 第五部分：聚氯乙烯</w:t>
      </w:r>
    </w:p>
    <w:p>
      <w:pPr>
        <w:pStyle w:val="11"/>
        <w:rPr>
          <w:rFonts w:hint="default"/>
          <w:lang w:val="en-US" w:eastAsia="zh-CN"/>
        </w:rPr>
      </w:pPr>
      <w:r>
        <w:rPr>
          <w:rFonts w:hint="eastAsia"/>
        </w:rPr>
        <w:t>GB/T 16288 塑料制品的标志</w:t>
      </w:r>
    </w:p>
    <w:p>
      <w:pPr>
        <w:pStyle w:val="11"/>
        <w:rPr>
          <w:rFonts w:hint="eastAsia"/>
        </w:rPr>
      </w:pPr>
      <w:r>
        <w:rPr>
          <w:rFonts w:hint="eastAsia"/>
        </w:rPr>
        <w:t>GB 16297 大气污染物综合排放标准</w:t>
      </w:r>
    </w:p>
    <w:p>
      <w:pPr>
        <w:pStyle w:val="11"/>
        <w:rPr>
          <w:rFonts w:hint="eastAsia"/>
        </w:rPr>
      </w:pPr>
      <w:r>
        <w:rPr>
          <w:rFonts w:hint="eastAsia"/>
        </w:rPr>
        <w:t>GB/T 19001 质量管理体系 要求</w:t>
      </w:r>
    </w:p>
    <w:p>
      <w:pPr>
        <w:pStyle w:val="11"/>
        <w:rPr>
          <w:rFonts w:hint="eastAsia"/>
        </w:rPr>
      </w:pPr>
      <w:r>
        <w:rPr>
          <w:rFonts w:hint="eastAsia"/>
        </w:rPr>
        <w:t>GB/T 23331 能源管理体系 要求</w:t>
      </w:r>
    </w:p>
    <w:p>
      <w:pPr>
        <w:pStyle w:val="11"/>
        <w:rPr>
          <w:rFonts w:hint="eastAsia"/>
        </w:rPr>
      </w:pPr>
      <w:r>
        <w:rPr>
          <w:rFonts w:hint="eastAsia"/>
        </w:rPr>
        <w:t>GB/T 24001 环境管理体系 要求及使用指南</w:t>
      </w:r>
    </w:p>
    <w:p>
      <w:pPr>
        <w:pStyle w:val="11"/>
        <w:rPr>
          <w:rFonts w:hint="eastAsia" w:eastAsia="宋体"/>
          <w:lang w:val="en-US" w:eastAsia="zh-CN"/>
        </w:rPr>
      </w:pPr>
      <w:r>
        <w:rPr>
          <w:rFonts w:hint="eastAsia"/>
        </w:rPr>
        <w:t>GB/T 24040</w:t>
      </w:r>
      <w:r>
        <w:rPr>
          <w:rFonts w:hint="eastAsia"/>
          <w:lang w:val="en-US" w:eastAsia="zh-CN"/>
        </w:rPr>
        <w:t xml:space="preserve"> </w:t>
      </w:r>
      <w:r>
        <w:rPr>
          <w:rFonts w:hint="default"/>
          <w:szCs w:val="22"/>
        </w:rPr>
        <w:fldChar w:fldCharType="begin"/>
      </w:r>
      <w:r>
        <w:rPr>
          <w:rFonts w:hint="default"/>
          <w:szCs w:val="22"/>
        </w:rPr>
        <w:instrText xml:space="preserve"> HYPERLINK "http://www.gb688.cn/bzgk/gb/std_list?p.p1=0&amp;p.p90=circulation_date&amp;p.p91=desc&amp;p.p2=GB/javascript:void(0)" </w:instrText>
      </w:r>
      <w:r>
        <w:rPr>
          <w:rFonts w:hint="default"/>
          <w:szCs w:val="22"/>
        </w:rPr>
        <w:fldChar w:fldCharType="separate"/>
      </w:r>
      <w:r>
        <w:rPr>
          <w:rFonts w:hint="default"/>
          <w:szCs w:val="22"/>
        </w:rPr>
        <w:t>环境管理 生命周期评价 原则与框架</w:t>
      </w:r>
      <w:r>
        <w:rPr>
          <w:rFonts w:hint="default"/>
          <w:szCs w:val="22"/>
        </w:rPr>
        <w:fldChar w:fldCharType="end"/>
      </w:r>
    </w:p>
    <w:p>
      <w:pPr>
        <w:pStyle w:val="11"/>
        <w:rPr>
          <w:rFonts w:hint="eastAsia" w:eastAsia="宋体"/>
          <w:lang w:val="en-US" w:eastAsia="zh-CN"/>
        </w:rPr>
      </w:pPr>
      <w:r>
        <w:rPr>
          <w:rFonts w:hint="eastAsia"/>
        </w:rPr>
        <w:t>GB/T 24044</w:t>
      </w:r>
      <w:r>
        <w:rPr>
          <w:rFonts w:hint="eastAsia"/>
          <w:lang w:val="en-US" w:eastAsia="zh-CN"/>
        </w:rPr>
        <w:t xml:space="preserve"> </w:t>
      </w:r>
      <w:r>
        <w:rPr>
          <w:rFonts w:hint="eastAsia"/>
          <w:szCs w:val="22"/>
        </w:rPr>
        <w:fldChar w:fldCharType="begin"/>
      </w:r>
      <w:r>
        <w:rPr>
          <w:rFonts w:hint="eastAsia"/>
          <w:szCs w:val="22"/>
        </w:rPr>
        <w:instrText xml:space="preserve"> HYPERLINK "http://www.gb688.cn/bzgk/gb/std_list?p.p1=0&amp;p.p90=circulation_date&amp;p.p91=desc&amp;p.p2=GB/javascript:void(0)" </w:instrText>
      </w:r>
      <w:r>
        <w:rPr>
          <w:rFonts w:hint="eastAsia"/>
          <w:szCs w:val="22"/>
        </w:rPr>
        <w:fldChar w:fldCharType="separate"/>
      </w:r>
      <w:r>
        <w:rPr>
          <w:rFonts w:hint="default"/>
          <w:szCs w:val="22"/>
        </w:rPr>
        <w:t>环境管理 生命周期评价 要求与指南</w:t>
      </w:r>
      <w:r>
        <w:rPr>
          <w:rFonts w:hint="default"/>
          <w:szCs w:val="22"/>
        </w:rPr>
        <w:fldChar w:fldCharType="end"/>
      </w:r>
    </w:p>
    <w:p>
      <w:pPr>
        <w:keepNext w:val="0"/>
        <w:keepLines w:val="0"/>
        <w:widowControl/>
        <w:suppressLineNumbers w:val="0"/>
        <w:pBdr>
          <w:top w:val="none" w:color="auto" w:sz="0" w:space="0"/>
          <w:left w:val="none" w:color="auto" w:sz="0" w:space="0"/>
          <w:bottom w:val="none" w:color="auto" w:sz="0" w:space="0"/>
        </w:pBdr>
        <w:wordWrap w:val="0"/>
        <w:ind w:firstLine="420" w:firstLineChars="200"/>
        <w:jc w:val="left"/>
        <w:rPr>
          <w:rFonts w:hint="default" w:ascii="宋体" w:hAnsi="Times New Roman" w:eastAsia="宋体" w:cs="Times New Roman"/>
          <w:color w:val="000000"/>
          <w:kern w:val="0"/>
          <w:sz w:val="21"/>
          <w:szCs w:val="21"/>
          <w:lang w:val="en-US" w:eastAsia="zh-CN" w:bidi="ar-SA"/>
        </w:rPr>
      </w:pPr>
      <w:r>
        <w:rPr>
          <w:rFonts w:hint="eastAsia" w:ascii="宋体" w:hAnsi="Times New Roman" w:eastAsia="宋体" w:cs="Times New Roman"/>
          <w:color w:val="000000"/>
          <w:kern w:val="0"/>
          <w:sz w:val="21"/>
          <w:szCs w:val="21"/>
          <w:lang w:val="en-US" w:eastAsia="zh-CN" w:bidi="ar-SA"/>
        </w:rPr>
        <w:t>GB/T 26125 电子电气产品 六种限用物质</w:t>
      </w:r>
      <w:r>
        <w:rPr>
          <w:rFonts w:hint="default" w:ascii="宋体" w:hAnsi="Times New Roman" w:eastAsia="宋体" w:cs="Times New Roman"/>
          <w:color w:val="000000"/>
          <w:kern w:val="0"/>
          <w:sz w:val="21"/>
          <w:szCs w:val="21"/>
          <w:lang w:val="en-US" w:eastAsia="zh-CN" w:bidi="ar-SA"/>
        </w:rPr>
        <w:t>(铅、汞、镉、六 价铬、多溴联苯和多溴二苯醚)的测定</w:t>
      </w:r>
    </w:p>
    <w:p>
      <w:pPr>
        <w:pStyle w:val="11"/>
        <w:rPr>
          <w:rFonts w:hint="default" w:ascii="宋体" w:hAnsi="Times New Roman" w:eastAsia="宋体" w:cs="Times New Roman"/>
          <w:color w:val="000000"/>
          <w:kern w:val="0"/>
          <w:sz w:val="21"/>
          <w:szCs w:val="21"/>
          <w:lang w:val="en-US" w:eastAsia="zh-CN" w:bidi="ar-SA"/>
        </w:rPr>
      </w:pPr>
      <w:r>
        <w:rPr>
          <w:rFonts w:hint="eastAsia"/>
        </w:rPr>
        <w:t>GB/T 28001 职业健康安全管理体系 要求</w:t>
      </w:r>
    </w:p>
    <w:p>
      <w:pPr>
        <w:keepNext w:val="0"/>
        <w:keepLines w:val="0"/>
        <w:widowControl/>
        <w:suppressLineNumbers w:val="0"/>
        <w:pBdr>
          <w:top w:val="none" w:color="auto" w:sz="0" w:space="0"/>
          <w:left w:val="none" w:color="auto" w:sz="0" w:space="0"/>
          <w:bottom w:val="none" w:color="auto" w:sz="0" w:space="0"/>
        </w:pBdr>
        <w:wordWrap w:val="0"/>
        <w:ind w:firstLine="420" w:firstLineChars="200"/>
        <w:jc w:val="left"/>
        <w:rPr>
          <w:rFonts w:hint="eastAsia" w:ascii="宋体" w:cs="Times New Roman"/>
          <w:color w:val="000000"/>
          <w:kern w:val="0"/>
          <w:sz w:val="21"/>
          <w:szCs w:val="21"/>
          <w:lang w:val="en-US" w:eastAsia="zh-CN" w:bidi="ar-SA"/>
        </w:rPr>
      </w:pPr>
      <w:r>
        <w:rPr>
          <w:rFonts w:hint="eastAsia" w:ascii="宋体" w:cs="Times New Roman"/>
          <w:color w:val="000000"/>
          <w:kern w:val="0"/>
          <w:sz w:val="21"/>
          <w:szCs w:val="21"/>
          <w:lang w:val="en-US" w:eastAsia="zh-CN" w:bidi="ar-SA"/>
        </w:rPr>
        <w:t xml:space="preserve">GB/T 29786 </w:t>
      </w:r>
      <w:r>
        <w:rPr>
          <w:rFonts w:hint="eastAsia" w:ascii="宋体" w:hAnsi="Times New Roman" w:eastAsia="宋体" w:cs="Times New Roman"/>
          <w:color w:val="000000"/>
          <w:kern w:val="0"/>
          <w:sz w:val="21"/>
          <w:szCs w:val="21"/>
          <w:lang w:val="en-US" w:eastAsia="zh-CN" w:bidi="ar-SA"/>
        </w:rPr>
        <w:t>电子电气产品</w:t>
      </w:r>
      <w:r>
        <w:rPr>
          <w:rFonts w:hint="eastAsia" w:ascii="宋体" w:cs="Times New Roman"/>
          <w:color w:val="000000"/>
          <w:kern w:val="0"/>
          <w:sz w:val="21"/>
          <w:szCs w:val="21"/>
          <w:lang w:val="en-US" w:eastAsia="zh-CN" w:bidi="ar-SA"/>
        </w:rPr>
        <w:t>中邻苯二甲酸酯的测定 气相色谱-质谱联用法</w:t>
      </w:r>
    </w:p>
    <w:p>
      <w:pPr>
        <w:keepNext w:val="0"/>
        <w:keepLines w:val="0"/>
        <w:widowControl/>
        <w:suppressLineNumbers w:val="0"/>
        <w:pBdr>
          <w:top w:val="none" w:color="auto" w:sz="0" w:space="0"/>
          <w:left w:val="none" w:color="auto" w:sz="0" w:space="0"/>
          <w:bottom w:val="none" w:color="auto" w:sz="0" w:space="0"/>
        </w:pBdr>
        <w:wordWrap w:val="0"/>
        <w:ind w:firstLine="420" w:firstLineChars="200"/>
        <w:jc w:val="left"/>
        <w:rPr>
          <w:rFonts w:hint="eastAsia" w:ascii="宋体" w:cs="Times New Roman"/>
          <w:color w:val="000000"/>
          <w:kern w:val="0"/>
          <w:sz w:val="21"/>
          <w:szCs w:val="21"/>
          <w:lang w:val="en-US" w:eastAsia="zh-CN" w:bidi="ar-SA"/>
        </w:rPr>
      </w:pPr>
      <w:r>
        <w:rPr>
          <w:rFonts w:hint="eastAsia" w:ascii="宋体" w:cs="Times New Roman"/>
          <w:color w:val="000000"/>
          <w:kern w:val="0"/>
          <w:sz w:val="21"/>
          <w:szCs w:val="21"/>
          <w:lang w:val="en-US" w:eastAsia="zh-CN" w:bidi="ar-SA"/>
        </w:rPr>
        <w:t>GB/T 32161 生态设计产品评价通则</w:t>
      </w:r>
    </w:p>
    <w:p>
      <w:pPr>
        <w:keepNext w:val="0"/>
        <w:keepLines w:val="0"/>
        <w:widowControl/>
        <w:suppressLineNumbers w:val="0"/>
        <w:pBdr>
          <w:top w:val="none" w:color="auto" w:sz="0" w:space="0"/>
          <w:left w:val="none" w:color="auto" w:sz="0" w:space="0"/>
          <w:bottom w:val="none" w:color="auto" w:sz="0" w:space="0"/>
        </w:pBdr>
        <w:wordWrap w:val="0"/>
        <w:ind w:firstLine="420" w:firstLineChars="200"/>
        <w:jc w:val="left"/>
        <w:rPr>
          <w:rFonts w:hint="default" w:ascii="宋体" w:cs="Times New Roman"/>
          <w:color w:val="000000"/>
          <w:kern w:val="0"/>
          <w:sz w:val="21"/>
          <w:szCs w:val="21"/>
          <w:lang w:val="en-US" w:eastAsia="zh-CN" w:bidi="ar-SA"/>
        </w:rPr>
      </w:pPr>
      <w:r>
        <w:rPr>
          <w:rFonts w:hint="eastAsia" w:ascii="宋体" w:cs="Times New Roman"/>
          <w:color w:val="000000"/>
          <w:kern w:val="0"/>
          <w:sz w:val="21"/>
          <w:szCs w:val="21"/>
          <w:lang w:val="en-US" w:eastAsia="zh-CN" w:bidi="ar-SA"/>
        </w:rPr>
        <w:t>GB/T 32162 生态设计产品标识</w:t>
      </w:r>
    </w:p>
    <w:p>
      <w:pPr>
        <w:pStyle w:val="11"/>
        <w:rPr>
          <w:rFonts w:hint="default"/>
          <w:sz w:val="21"/>
          <w:szCs w:val="21"/>
          <w:lang w:val="en-US"/>
        </w:rPr>
      </w:pPr>
      <w:r>
        <w:rPr>
          <w:rFonts w:hint="eastAsia"/>
          <w:color w:val="000000"/>
          <w:kern w:val="0"/>
          <w:sz w:val="21"/>
          <w:szCs w:val="21"/>
          <w:lang w:val="en-US" w:eastAsia="zh-CN"/>
        </w:rPr>
        <w:t>GB/T 32163.2 生态设计产品评价规范 第2部分：可降解塑料</w:t>
      </w:r>
    </w:p>
    <w:p>
      <w:pPr>
        <w:pStyle w:val="11"/>
      </w:pPr>
      <w:r>
        <w:rPr>
          <w:rFonts w:hint="eastAsia"/>
        </w:rPr>
        <w:t>GB/T 33284 室内装饰装修材料 门、窗用未增塑聚氯乙烯（PVC-U）型材有害物质限量</w:t>
      </w:r>
    </w:p>
    <w:p>
      <w:pPr>
        <w:pStyle w:val="11"/>
        <w:keepNext w:val="0"/>
        <w:keepLines w:val="0"/>
        <w:pageBreakBefore w:val="0"/>
        <w:widowControl/>
        <w:kinsoku/>
        <w:wordWrap/>
        <w:overflowPunct/>
        <w:topLinePunct w:val="0"/>
        <w:bidi w:val="0"/>
        <w:adjustRightInd/>
        <w:snapToGrid/>
        <w:spacing w:line="360" w:lineRule="auto"/>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术语和定义</w:t>
      </w:r>
      <w:r>
        <w:rPr>
          <w:rFonts w:hint="eastAsia" w:ascii="Times New Roman" w:cs="Times New Roman"/>
          <w:kern w:val="2"/>
          <w:sz w:val="24"/>
          <w:szCs w:val="24"/>
          <w:lang w:val="en-US" w:eastAsia="zh-CN" w:bidi="ar-SA"/>
        </w:rPr>
        <w:t>部分</w:t>
      </w:r>
      <w:r>
        <w:rPr>
          <w:rFonts w:hint="eastAsia" w:ascii="Times New Roman" w:hAnsi="Times New Roman" w:eastAsia="宋体" w:cs="Times New Roman"/>
          <w:kern w:val="2"/>
          <w:sz w:val="24"/>
          <w:szCs w:val="24"/>
          <w:lang w:val="en-US" w:eastAsia="zh-CN" w:bidi="ar-SA"/>
        </w:rPr>
        <w:t>包括：GB/T 32161-2015、GB/T 33761-2017 等标准中界定的以及下列术语和定义适用于本文件。</w:t>
      </w:r>
    </w:p>
    <w:p>
      <w:pPr>
        <w:pStyle w:val="11"/>
        <w:keepNext w:val="0"/>
        <w:keepLines w:val="0"/>
        <w:pageBreakBefore w:val="0"/>
        <w:widowControl/>
        <w:kinsoku/>
        <w:wordWrap/>
        <w:overflowPunct/>
        <w:topLinePunct w:val="0"/>
        <w:bidi w:val="0"/>
        <w:adjustRightInd/>
        <w:snapToGrid/>
        <w:spacing w:line="360" w:lineRule="auto"/>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绿色设计 green-design</w:t>
      </w:r>
      <w:r>
        <w:rPr>
          <w:rFonts w:hint="eastAsia" w:ascii="Times New Roman"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按照全生命周期的理念，在产品设计开发阶段系统考虑原材料选用、生产、销售、使用、回收、处理等各个环节对资源环境造成的影响，力求产品在全生命周期中最大限度降低资源消耗、尽可能少用或不用含有有害的原材料，减少污染物生产和排放，从而实现环境保护的活动，也叫生态设计。</w:t>
      </w:r>
    </w:p>
    <w:p>
      <w:pPr>
        <w:pStyle w:val="11"/>
        <w:keepNext w:val="0"/>
        <w:keepLines w:val="0"/>
        <w:pageBreakBefore w:val="0"/>
        <w:widowControl/>
        <w:kinsoku/>
        <w:wordWrap/>
        <w:overflowPunct/>
        <w:topLinePunct w:val="0"/>
        <w:bidi w:val="0"/>
        <w:adjustRightInd/>
        <w:snapToGrid/>
        <w:spacing w:line="360" w:lineRule="auto"/>
        <w:textAlignment w:val="auto"/>
        <w:rPr>
          <w:rFonts w:hint="eastAsia"/>
          <w:sz w:val="24"/>
          <w:szCs w:val="24"/>
          <w:lang w:eastAsia="zh-CN"/>
        </w:rPr>
      </w:pPr>
      <w:r>
        <w:rPr>
          <w:rFonts w:hint="eastAsia" w:ascii="Times New Roman" w:hAnsi="Times New Roman" w:eastAsia="宋体" w:cs="Times New Roman"/>
          <w:kern w:val="2"/>
          <w:sz w:val="24"/>
          <w:szCs w:val="24"/>
          <w:lang w:val="en-US" w:eastAsia="zh-CN" w:bidi="ar-SA"/>
        </w:rPr>
        <w:t>绿色设计产品 green-design product</w:t>
      </w:r>
      <w:r>
        <w:rPr>
          <w:rFonts w:hint="eastAsia" w:ascii="Times New Roman"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符合绿色设计理念和评价要求的产品，也叫生态设计产品。</w:t>
      </w:r>
    </w:p>
    <w:p>
      <w:pPr>
        <w:spacing w:line="360" w:lineRule="auto"/>
        <w:ind w:firstLine="480" w:firstLineChars="200"/>
        <w:rPr>
          <w:sz w:val="24"/>
          <w:szCs w:val="24"/>
        </w:rPr>
      </w:pPr>
      <w:r>
        <w:rPr>
          <w:rFonts w:hint="eastAsia"/>
          <w:sz w:val="24"/>
          <w:szCs w:val="24"/>
        </w:rPr>
        <w:t>第</w:t>
      </w:r>
      <w:r>
        <w:rPr>
          <w:rFonts w:hint="eastAsia"/>
          <w:sz w:val="24"/>
          <w:szCs w:val="24"/>
          <w:lang w:eastAsia="zh-CN"/>
        </w:rPr>
        <w:t>四</w:t>
      </w:r>
      <w:r>
        <w:rPr>
          <w:rFonts w:hint="eastAsia"/>
          <w:sz w:val="24"/>
          <w:szCs w:val="24"/>
        </w:rPr>
        <w:t>部分为产品评价要求，规定了产品质量应符合相关的标准及生产过程中应遵守的法律法规等。</w:t>
      </w:r>
    </w:p>
    <w:p>
      <w:pPr>
        <w:numPr>
          <w:ilvl w:val="0"/>
          <w:numId w:val="4"/>
        </w:numPr>
        <w:spacing w:line="360" w:lineRule="auto"/>
        <w:ind w:firstLine="480" w:firstLineChars="200"/>
        <w:rPr>
          <w:sz w:val="24"/>
          <w:szCs w:val="24"/>
        </w:rPr>
      </w:pPr>
      <w:r>
        <w:rPr>
          <w:rFonts w:hint="eastAsia"/>
          <w:sz w:val="24"/>
          <w:szCs w:val="24"/>
        </w:rPr>
        <w:t>污染物排放要求</w:t>
      </w:r>
    </w:p>
    <w:p>
      <w:pPr>
        <w:spacing w:line="360" w:lineRule="auto"/>
        <w:ind w:firstLine="480" w:firstLineChars="200"/>
        <w:rPr>
          <w:sz w:val="24"/>
          <w:szCs w:val="24"/>
        </w:rPr>
      </w:pPr>
      <w:r>
        <w:rPr>
          <w:rFonts w:hint="eastAsia"/>
          <w:sz w:val="24"/>
          <w:szCs w:val="24"/>
        </w:rPr>
        <w:t>污染物排放应符合相关环境保护法律法规，达到国家或地方污染物排放标准的要求，近三年无重大安全事故和重大环境污染事件。</w:t>
      </w:r>
    </w:p>
    <w:p>
      <w:pPr>
        <w:spacing w:line="360" w:lineRule="auto"/>
        <w:ind w:firstLine="480" w:firstLineChars="200"/>
        <w:rPr>
          <w:sz w:val="24"/>
          <w:szCs w:val="24"/>
        </w:rPr>
      </w:pPr>
      <w:r>
        <w:rPr>
          <w:rFonts w:hint="eastAsia"/>
          <w:sz w:val="24"/>
          <w:szCs w:val="24"/>
        </w:rPr>
        <w:t>2）污染物总量控制要求</w:t>
      </w:r>
    </w:p>
    <w:p>
      <w:pPr>
        <w:spacing w:line="360" w:lineRule="auto"/>
        <w:ind w:firstLine="480" w:firstLineChars="200"/>
        <w:rPr>
          <w:sz w:val="24"/>
          <w:szCs w:val="24"/>
        </w:rPr>
      </w:pPr>
      <w:r>
        <w:rPr>
          <w:rFonts w:hint="eastAsia"/>
          <w:sz w:val="24"/>
          <w:szCs w:val="24"/>
        </w:rPr>
        <w:t>生产企业的污染物总量应达到国家和地方污染物排放总量控制指标。</w:t>
      </w:r>
    </w:p>
    <w:p>
      <w:pPr>
        <w:spacing w:line="360" w:lineRule="auto"/>
        <w:ind w:firstLine="480" w:firstLineChars="200"/>
        <w:rPr>
          <w:sz w:val="24"/>
          <w:szCs w:val="24"/>
        </w:rPr>
      </w:pPr>
      <w:r>
        <w:rPr>
          <w:rFonts w:hint="eastAsia"/>
          <w:sz w:val="24"/>
          <w:szCs w:val="24"/>
        </w:rPr>
        <w:t>3）企业管理体系的要求</w:t>
      </w:r>
    </w:p>
    <w:p>
      <w:pPr>
        <w:spacing w:line="360" w:lineRule="auto"/>
        <w:ind w:left="420" w:leftChars="200"/>
        <w:rPr>
          <w:sz w:val="24"/>
          <w:szCs w:val="24"/>
        </w:rPr>
      </w:pPr>
      <w:r>
        <w:rPr>
          <w:rFonts w:hint="eastAsia"/>
          <w:sz w:val="24"/>
          <w:szCs w:val="24"/>
        </w:rPr>
        <w:t>生产企业的管理应按照环境管理体系、质量管理体系、职业健康安全管理体系建立、运行；</w:t>
      </w:r>
    </w:p>
    <w:p>
      <w:pPr>
        <w:spacing w:line="360" w:lineRule="auto"/>
        <w:ind w:firstLine="480" w:firstLineChars="200"/>
        <w:rPr>
          <w:sz w:val="24"/>
          <w:szCs w:val="24"/>
        </w:rPr>
      </w:pPr>
      <w:r>
        <w:rPr>
          <w:rFonts w:hint="eastAsia"/>
          <w:sz w:val="24"/>
          <w:szCs w:val="24"/>
        </w:rPr>
        <w:t>4）能源和环境监测的要求</w:t>
      </w:r>
    </w:p>
    <w:p>
      <w:pPr>
        <w:numPr>
          <w:ilvl w:val="0"/>
          <w:numId w:val="5"/>
        </w:numPr>
        <w:spacing w:line="360" w:lineRule="auto"/>
        <w:ind w:firstLine="480" w:firstLineChars="200"/>
        <w:rPr>
          <w:sz w:val="24"/>
          <w:szCs w:val="24"/>
        </w:rPr>
      </w:pPr>
      <w:r>
        <w:rPr>
          <w:rFonts w:hint="eastAsia"/>
          <w:sz w:val="24"/>
          <w:szCs w:val="24"/>
        </w:rPr>
        <w:t>产品质量的要求</w:t>
      </w:r>
    </w:p>
    <w:p>
      <w:pPr>
        <w:spacing w:line="360" w:lineRule="auto"/>
        <w:ind w:firstLine="480" w:firstLineChars="200"/>
        <w:rPr>
          <w:sz w:val="24"/>
          <w:szCs w:val="24"/>
        </w:rPr>
      </w:pPr>
      <w:r>
        <w:rPr>
          <w:rFonts w:hint="eastAsia"/>
          <w:sz w:val="24"/>
          <w:szCs w:val="24"/>
        </w:rPr>
        <w:t>产品质量应满足相关产品标准要求。</w:t>
      </w:r>
    </w:p>
    <w:p>
      <w:pPr>
        <w:numPr>
          <w:ilvl w:val="0"/>
          <w:numId w:val="5"/>
        </w:numPr>
        <w:spacing w:line="360" w:lineRule="auto"/>
        <w:ind w:firstLine="480" w:firstLineChars="200"/>
        <w:rPr>
          <w:sz w:val="24"/>
          <w:szCs w:val="24"/>
        </w:rPr>
      </w:pPr>
      <w:r>
        <w:rPr>
          <w:rFonts w:hint="eastAsia"/>
          <w:sz w:val="24"/>
          <w:szCs w:val="24"/>
        </w:rPr>
        <w:t>资源属性要求</w:t>
      </w:r>
    </w:p>
    <w:p>
      <w:pPr>
        <w:pStyle w:val="11"/>
        <w:ind w:firstLine="480"/>
        <w:rPr>
          <w:sz w:val="24"/>
          <w:szCs w:val="24"/>
        </w:rPr>
      </w:pPr>
      <w:r>
        <w:rPr>
          <w:rFonts w:hint="eastAsia"/>
          <w:sz w:val="24"/>
          <w:szCs w:val="24"/>
        </w:rPr>
        <w:t>单位产品取水量应符合该产品行业的有关法规规定，并达到行业先进水平。</w:t>
      </w:r>
    </w:p>
    <w:p>
      <w:pPr>
        <w:keepNext w:val="0"/>
        <w:keepLines w:val="0"/>
        <w:pageBreakBefore w:val="0"/>
        <w:numPr>
          <w:ilvl w:val="0"/>
          <w:numId w:val="5"/>
        </w:numPr>
        <w:kinsoku/>
        <w:wordWrap/>
        <w:overflowPunct/>
        <w:topLinePunct w:val="0"/>
        <w:bidi w:val="0"/>
        <w:adjustRightInd/>
        <w:snapToGrid/>
        <w:spacing w:line="360" w:lineRule="auto"/>
        <w:ind w:firstLine="480" w:firstLineChars="200"/>
        <w:textAlignment w:val="auto"/>
        <w:rPr>
          <w:sz w:val="24"/>
          <w:szCs w:val="24"/>
        </w:rPr>
      </w:pPr>
      <w:r>
        <w:rPr>
          <w:rFonts w:hint="eastAsia"/>
          <w:sz w:val="24"/>
          <w:szCs w:val="24"/>
        </w:rPr>
        <w:t>能源属性要求</w:t>
      </w:r>
    </w:p>
    <w:p>
      <w:pPr>
        <w:pStyle w:val="11"/>
        <w:keepNext w:val="0"/>
        <w:keepLines w:val="0"/>
        <w:pageBreakBefore w:val="0"/>
        <w:kinsoku/>
        <w:wordWrap/>
        <w:overflowPunct/>
        <w:topLinePunct w:val="0"/>
        <w:bidi w:val="0"/>
        <w:adjustRightInd/>
        <w:snapToGrid/>
        <w:spacing w:line="360" w:lineRule="auto"/>
        <w:ind w:firstLine="480"/>
        <w:textAlignment w:val="auto"/>
        <w:rPr>
          <w:rFonts w:hint="eastAsia"/>
          <w:sz w:val="24"/>
          <w:szCs w:val="24"/>
          <w:lang w:eastAsia="zh-CN"/>
        </w:rPr>
      </w:pPr>
      <w:r>
        <w:rPr>
          <w:rFonts w:hint="eastAsia"/>
          <w:sz w:val="24"/>
          <w:szCs w:val="24"/>
        </w:rPr>
        <w:t>单位产品能耗，应符合该产品行业的有关法规规定，并达到行业先进水平</w:t>
      </w:r>
      <w:r>
        <w:rPr>
          <w:rFonts w:hint="eastAsia"/>
          <w:sz w:val="24"/>
          <w:szCs w:val="24"/>
          <w:lang w:eastAsia="zh-CN"/>
        </w:rPr>
        <w:t>。</w:t>
      </w:r>
    </w:p>
    <w:p>
      <w:pPr>
        <w:pStyle w:val="11"/>
        <w:keepNext w:val="0"/>
        <w:keepLines w:val="0"/>
        <w:pageBreakBefore w:val="0"/>
        <w:numPr>
          <w:ilvl w:val="0"/>
          <w:numId w:val="5"/>
        </w:numPr>
        <w:kinsoku/>
        <w:wordWrap/>
        <w:overflowPunct/>
        <w:topLinePunct w:val="0"/>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除上述基本要求外，本标准还规定了门窗用塑料型材的具体评价指标要求，具体内容如下：</w:t>
      </w:r>
    </w:p>
    <w:tbl>
      <w:tblPr>
        <w:tblStyle w:val="6"/>
        <w:tblW w:w="9880" w:type="dxa"/>
        <w:jc w:val="center"/>
        <w:tblInd w:w="-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494"/>
        <w:gridCol w:w="690"/>
        <w:gridCol w:w="19"/>
        <w:gridCol w:w="1279"/>
        <w:gridCol w:w="1295"/>
        <w:gridCol w:w="198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000000"/>
                <w:kern w:val="0"/>
                <w:sz w:val="20"/>
              </w:rPr>
            </w:pPr>
            <w:r>
              <w:rPr>
                <w:rFonts w:ascii="宋体" w:hAnsi="宋体" w:cs="宋体"/>
                <w:color w:val="000000"/>
                <w:kern w:val="0"/>
                <w:sz w:val="20"/>
              </w:rPr>
              <w:t>一级指标</w:t>
            </w:r>
          </w:p>
        </w:tc>
        <w:tc>
          <w:tcPr>
            <w:tcW w:w="34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000000"/>
                <w:kern w:val="0"/>
                <w:sz w:val="20"/>
              </w:rPr>
            </w:pPr>
            <w:r>
              <w:rPr>
                <w:rFonts w:ascii="宋体" w:hAnsi="宋体" w:cs="宋体"/>
                <w:color w:val="000000"/>
                <w:kern w:val="0"/>
                <w:sz w:val="20"/>
              </w:rPr>
              <w:t>二级指标</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000000"/>
                <w:kern w:val="0"/>
                <w:sz w:val="20"/>
              </w:rPr>
            </w:pPr>
            <w:r>
              <w:rPr>
                <w:rFonts w:ascii="宋体" w:hAnsi="宋体" w:cs="宋体"/>
                <w:color w:val="000000"/>
                <w:kern w:val="0"/>
                <w:sz w:val="20"/>
              </w:rPr>
              <w:t>单位</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000000"/>
                <w:kern w:val="0"/>
                <w:sz w:val="20"/>
              </w:rPr>
            </w:pPr>
            <w:r>
              <w:rPr>
                <w:rFonts w:ascii="宋体" w:hAnsi="宋体" w:cs="宋体"/>
                <w:color w:val="000000"/>
                <w:kern w:val="0"/>
                <w:sz w:val="20"/>
              </w:rPr>
              <w:t>基准值</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000000"/>
                <w:kern w:val="0"/>
                <w:sz w:val="20"/>
              </w:rPr>
            </w:pPr>
            <w:r>
              <w:rPr>
                <w:rFonts w:ascii="宋体" w:hAnsi="宋体" w:cs="宋体"/>
                <w:color w:val="000000"/>
                <w:kern w:val="0"/>
                <w:sz w:val="20"/>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jc w:val="center"/>
        </w:trPr>
        <w:tc>
          <w:tcPr>
            <w:tcW w:w="1136"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rPr>
                <w:color w:val="000000"/>
                <w:kern w:val="0"/>
                <w:sz w:val="20"/>
              </w:rPr>
            </w:pPr>
            <w:r>
              <w:rPr>
                <w:color w:val="000000"/>
                <w:kern w:val="0"/>
                <w:sz w:val="20"/>
              </w:rPr>
              <w:t>资源属性</w:t>
            </w:r>
          </w:p>
        </w:tc>
        <w:tc>
          <w:tcPr>
            <w:tcW w:w="34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r>
              <w:rPr>
                <w:color w:val="000000"/>
                <w:kern w:val="0"/>
                <w:sz w:val="20"/>
              </w:rPr>
              <w:t>氯乙烯单体</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r>
              <w:rPr>
                <w:color w:val="000000"/>
                <w:kern w:val="0"/>
                <w:sz w:val="20"/>
              </w:rPr>
              <w:t>mg/kg</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r>
              <w:rPr>
                <w:color w:val="000000"/>
                <w:kern w:val="0"/>
                <w:sz w:val="20"/>
              </w:rPr>
              <w:t>≤3</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hint="eastAsia" w:eastAsia="宋体"/>
                <w:color w:val="000000"/>
                <w:kern w:val="0"/>
                <w:sz w:val="20"/>
                <w:lang w:eastAsia="zh-CN"/>
              </w:rPr>
            </w:pPr>
            <w:r>
              <w:rPr>
                <w:rFonts w:hint="eastAsia"/>
                <w:color w:val="000000"/>
                <w:kern w:val="0"/>
                <w:sz w:val="20"/>
                <w:lang w:eastAsia="zh-CN"/>
              </w:rPr>
              <w:t>依据</w:t>
            </w:r>
            <w:r>
              <w:rPr>
                <w:color w:val="000000"/>
                <w:kern w:val="0"/>
                <w:sz w:val="20"/>
              </w:rPr>
              <w:t>GB/T 4615</w:t>
            </w:r>
            <w:r>
              <w:rPr>
                <w:rFonts w:hint="eastAsia"/>
                <w:color w:val="000000"/>
                <w:kern w:val="0"/>
                <w:sz w:val="20"/>
                <w:lang w:eastAsia="zh-CN"/>
              </w:rPr>
              <w:t>检测并提供检测报告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136" w:type="dxa"/>
            <w:vMerge w:val="continue"/>
            <w:tcBorders>
              <w:left w:val="single" w:color="auto" w:sz="4" w:space="0"/>
              <w:right w:val="single" w:color="auto" w:sz="4" w:space="0"/>
            </w:tcBorders>
            <w:shd w:val="clear" w:color="auto" w:fill="auto"/>
            <w:vAlign w:val="center"/>
          </w:tcPr>
          <w:p>
            <w:pPr>
              <w:adjustRightInd w:val="0"/>
              <w:snapToGrid w:val="0"/>
              <w:jc w:val="center"/>
              <w:rPr>
                <w:color w:val="000000"/>
                <w:kern w:val="0"/>
                <w:sz w:val="20"/>
              </w:rPr>
            </w:pPr>
          </w:p>
        </w:tc>
        <w:tc>
          <w:tcPr>
            <w:tcW w:w="34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r>
              <w:rPr>
                <w:color w:val="000000"/>
                <w:kern w:val="0"/>
                <w:sz w:val="20"/>
              </w:rPr>
              <w:t>稳定剂</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r>
              <w:rPr>
                <w:color w:val="000000"/>
                <w:kern w:val="0"/>
                <w:sz w:val="20"/>
              </w:rPr>
              <w:t>不得使用铅盐、镉盐</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r>
              <w:rPr>
                <w:rFonts w:hint="eastAsia"/>
                <w:kern w:val="0"/>
                <w:sz w:val="20"/>
                <w:szCs w:val="22"/>
                <w:lang w:eastAsia="zh-CN"/>
              </w:rPr>
              <w:t>1)企业自我声明；2）现场检查，按工序流程查验报告文件、统计报表、原始记录及原材料使用清单等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1136"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p>
        </w:tc>
        <w:tc>
          <w:tcPr>
            <w:tcW w:w="34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r>
              <w:rPr>
                <w:color w:val="000000"/>
                <w:kern w:val="0"/>
                <w:sz w:val="20"/>
              </w:rPr>
              <w:t>塑料制品标志</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r>
              <w:rPr>
                <w:color w:val="000000"/>
                <w:kern w:val="0"/>
                <w:sz w:val="20"/>
              </w:rPr>
              <w:t>----</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r>
              <w:rPr>
                <w:color w:val="000000"/>
                <w:kern w:val="0"/>
                <w:sz w:val="20"/>
              </w:rPr>
              <w:t>可回收再生利用</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r>
              <w:rPr>
                <w:rFonts w:hint="eastAsia"/>
                <w:kern w:val="0"/>
                <w:sz w:val="20"/>
                <w:szCs w:val="22"/>
                <w:lang w:eastAsia="zh-CN"/>
              </w:rPr>
              <w:t>依据GB/T 16288检测产品标签或说明书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136"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rPr>
                <w:color w:val="000000"/>
                <w:kern w:val="0"/>
                <w:sz w:val="20"/>
              </w:rPr>
            </w:pPr>
            <w:r>
              <w:rPr>
                <w:color w:val="000000"/>
                <w:kern w:val="0"/>
                <w:sz w:val="20"/>
              </w:rPr>
              <w:t>能源属性</w:t>
            </w:r>
          </w:p>
        </w:tc>
        <w:tc>
          <w:tcPr>
            <w:tcW w:w="34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r>
              <w:rPr>
                <w:color w:val="000000"/>
                <w:kern w:val="0"/>
                <w:sz w:val="20"/>
              </w:rPr>
              <w:t>单位产品综合能耗</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r>
              <w:rPr>
                <w:color w:val="000000"/>
                <w:kern w:val="0"/>
                <w:sz w:val="20"/>
              </w:rPr>
              <w:t>tce/t</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r>
              <w:rPr>
                <w:color w:val="000000"/>
                <w:kern w:val="0"/>
                <w:sz w:val="20"/>
              </w:rPr>
              <w:t>≤0.047</w:t>
            </w:r>
          </w:p>
        </w:tc>
        <w:tc>
          <w:tcPr>
            <w:tcW w:w="1984"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int="default" w:eastAsia="宋体"/>
                <w:color w:val="000000"/>
                <w:kern w:val="0"/>
                <w:sz w:val="20"/>
                <w:lang w:val="en-US" w:eastAsia="zh-CN"/>
              </w:rPr>
            </w:pPr>
            <w:r>
              <w:rPr>
                <w:rFonts w:hint="eastAsia"/>
                <w:color w:val="000000"/>
                <w:kern w:val="0"/>
                <w:sz w:val="20"/>
                <w:lang w:val="en-US" w:eastAsia="zh-CN"/>
              </w:rPr>
              <w:t>依据GB/T 32163.2计算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136" w:type="dxa"/>
            <w:vMerge w:val="continue"/>
            <w:tcBorders>
              <w:left w:val="single" w:color="auto" w:sz="4" w:space="0"/>
              <w:right w:val="single" w:color="auto" w:sz="4" w:space="0"/>
            </w:tcBorders>
            <w:shd w:val="clear" w:color="auto" w:fill="auto"/>
            <w:vAlign w:val="center"/>
          </w:tcPr>
          <w:p>
            <w:pPr>
              <w:adjustRightInd w:val="0"/>
              <w:snapToGrid w:val="0"/>
              <w:jc w:val="center"/>
              <w:rPr>
                <w:color w:val="000000"/>
                <w:kern w:val="0"/>
                <w:sz w:val="20"/>
              </w:rPr>
            </w:pPr>
          </w:p>
        </w:tc>
        <w:tc>
          <w:tcPr>
            <w:tcW w:w="34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r>
              <w:rPr>
                <w:color w:val="000000"/>
                <w:kern w:val="0"/>
                <w:sz w:val="20"/>
              </w:rPr>
              <w:t>单位产品</w:t>
            </w:r>
            <w:r>
              <w:rPr>
                <w:rFonts w:hint="eastAsia"/>
                <w:color w:val="000000"/>
                <w:kern w:val="0"/>
                <w:sz w:val="20"/>
                <w:lang w:eastAsia="zh-CN"/>
              </w:rPr>
              <w:t>取</w:t>
            </w:r>
            <w:r>
              <w:rPr>
                <w:color w:val="000000"/>
                <w:kern w:val="0"/>
                <w:sz w:val="20"/>
              </w:rPr>
              <w:t>水量</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r>
              <w:rPr>
                <w:color w:val="000000"/>
                <w:kern w:val="0"/>
                <w:sz w:val="20"/>
              </w:rPr>
              <w:t>kg/kg</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r>
              <w:rPr>
                <w:color w:val="000000"/>
                <w:kern w:val="0"/>
                <w:sz w:val="20"/>
              </w:rPr>
              <w:t>≤0.9</w:t>
            </w:r>
          </w:p>
        </w:tc>
        <w:tc>
          <w:tcPr>
            <w:tcW w:w="1984"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1136"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c>
          <w:tcPr>
            <w:tcW w:w="1494"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传热系数K</w:t>
            </w:r>
            <w:r>
              <w:rPr>
                <w:kern w:val="0"/>
                <w:sz w:val="20"/>
                <w:vertAlign w:val="subscript"/>
              </w:rPr>
              <w:t>f</w:t>
            </w: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平开</w:t>
            </w:r>
          </w:p>
        </w:tc>
        <w:tc>
          <w:tcPr>
            <w:tcW w:w="1295"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kern w:val="0"/>
                <w:sz w:val="20"/>
              </w:rPr>
            </w:pPr>
            <w:r>
              <w:rPr>
                <w:sz w:val="20"/>
              </w:rPr>
              <w:t>W/ (m</w:t>
            </w:r>
            <w:r>
              <w:rPr>
                <w:sz w:val="20"/>
                <w:vertAlign w:val="superscript"/>
              </w:rPr>
              <w:t>2</w:t>
            </w:r>
            <w:r>
              <w:rPr>
                <w:sz w:val="20"/>
              </w:rPr>
              <w:t>·K)</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w:t>
            </w:r>
            <w:r>
              <w:rPr>
                <w:sz w:val="20"/>
              </w:rPr>
              <w:t>1.5</w:t>
            </w:r>
          </w:p>
        </w:tc>
        <w:tc>
          <w:tcPr>
            <w:tcW w:w="1984"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kern w:val="0"/>
                <w:sz w:val="20"/>
              </w:rPr>
            </w:pPr>
            <w:r>
              <w:rPr>
                <w:rFonts w:hint="eastAsia"/>
                <w:kern w:val="0"/>
                <w:sz w:val="20"/>
                <w:lang w:eastAsia="zh-CN"/>
              </w:rPr>
              <w:t>依据</w:t>
            </w:r>
            <w:r>
              <w:rPr>
                <w:kern w:val="0"/>
                <w:sz w:val="20"/>
              </w:rPr>
              <w:t>GB/T 8484</w:t>
            </w:r>
            <w:r>
              <w:rPr>
                <w:rFonts w:hint="eastAsia"/>
                <w:color w:val="000000"/>
                <w:kern w:val="0"/>
                <w:sz w:val="20"/>
                <w:lang w:eastAsia="zh-CN"/>
              </w:rPr>
              <w:t>检测并提供检测报告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1136"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494"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推拉</w:t>
            </w:r>
          </w:p>
        </w:tc>
        <w:tc>
          <w:tcPr>
            <w:tcW w:w="1295"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w:t>
            </w:r>
            <w:r>
              <w:rPr>
                <w:rFonts w:hint="eastAsia"/>
                <w:sz w:val="20"/>
              </w:rPr>
              <w:t>2.2</w:t>
            </w:r>
          </w:p>
        </w:tc>
        <w:tc>
          <w:tcPr>
            <w:tcW w:w="1984"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kern w:val="0"/>
                <w:sz w:val="20"/>
              </w:rPr>
            </w:pPr>
            <w:r>
              <w:rPr>
                <w:kern w:val="0"/>
                <w:sz w:val="20"/>
              </w:rPr>
              <w:t>环境属性</w:t>
            </w:r>
          </w:p>
        </w:tc>
        <w:tc>
          <w:tcPr>
            <w:tcW w:w="14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有害物质限量</w:t>
            </w: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铅（Pb）</w:t>
            </w:r>
          </w:p>
        </w:tc>
        <w:tc>
          <w:tcPr>
            <w:tcW w:w="1295"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mg/kg</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≤100</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adjustRightInd w:val="0"/>
              <w:snapToGrid w:val="0"/>
              <w:jc w:val="center"/>
              <w:outlineLvl w:val="0"/>
              <w:rPr>
                <w:kern w:val="0"/>
                <w:sz w:val="20"/>
              </w:rPr>
            </w:pPr>
            <w:r>
              <w:rPr>
                <w:rFonts w:hint="eastAsia"/>
                <w:kern w:val="0"/>
                <w:sz w:val="20"/>
                <w:lang w:eastAsia="zh-CN"/>
              </w:rPr>
              <w:t>依据</w:t>
            </w:r>
            <w:r>
              <w:rPr>
                <w:kern w:val="0"/>
                <w:sz w:val="20"/>
              </w:rPr>
              <w:t>GB/T 26125</w:t>
            </w:r>
            <w:r>
              <w:rPr>
                <w:rFonts w:hint="eastAsia"/>
                <w:color w:val="000000"/>
                <w:kern w:val="0"/>
                <w:sz w:val="20"/>
                <w:lang w:eastAsia="zh-CN"/>
              </w:rPr>
              <w:t>检测并提供检测报告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4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镉（Cd）</w:t>
            </w:r>
          </w:p>
        </w:tc>
        <w:tc>
          <w:tcPr>
            <w:tcW w:w="1295"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≤50</w:t>
            </w:r>
          </w:p>
        </w:tc>
        <w:tc>
          <w:tcPr>
            <w:tcW w:w="19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4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六价铬（Cr）</w:t>
            </w:r>
          </w:p>
        </w:tc>
        <w:tc>
          <w:tcPr>
            <w:tcW w:w="1295"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≤50</w:t>
            </w:r>
            <w:r>
              <w:rPr>
                <w:rFonts w:hint="eastAsia"/>
                <w:kern w:val="0"/>
                <w:sz w:val="20"/>
              </w:rPr>
              <w:t>0</w:t>
            </w:r>
          </w:p>
        </w:tc>
        <w:tc>
          <w:tcPr>
            <w:tcW w:w="19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4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汞（Hg）</w:t>
            </w:r>
          </w:p>
        </w:tc>
        <w:tc>
          <w:tcPr>
            <w:tcW w:w="1295"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≤50</w:t>
            </w:r>
          </w:p>
        </w:tc>
        <w:tc>
          <w:tcPr>
            <w:tcW w:w="19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4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kern w:val="0"/>
                <w:sz w:val="20"/>
              </w:rPr>
            </w:pPr>
            <w:r>
              <w:rPr>
                <w:kern w:val="0"/>
                <w:sz w:val="18"/>
                <w:szCs w:val="18"/>
              </w:rPr>
              <w:t>增塑剂</w:t>
            </w:r>
          </w:p>
        </w:tc>
        <w:tc>
          <w:tcPr>
            <w:tcW w:w="1295"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eastAsia="宋体"/>
                <w:kern w:val="0"/>
                <w:sz w:val="20"/>
                <w:lang w:val="en-US" w:eastAsia="zh-CN"/>
              </w:rPr>
            </w:pPr>
            <w:r>
              <w:rPr>
                <w:kern w:val="0"/>
                <w:sz w:val="20"/>
              </w:rPr>
              <w:t>不得检出</w:t>
            </w:r>
            <w:r>
              <w:rPr>
                <w:rFonts w:hint="eastAsia"/>
                <w:kern w:val="0"/>
                <w:sz w:val="20"/>
                <w:lang w:eastAsia="zh-CN"/>
              </w:rPr>
              <w:t>邻苯二甲酸二（</w:t>
            </w:r>
            <w:r>
              <w:rPr>
                <w:rFonts w:hint="eastAsia"/>
                <w:kern w:val="0"/>
                <w:sz w:val="20"/>
                <w:lang w:val="en-US" w:eastAsia="zh-CN"/>
              </w:rPr>
              <w:t>2-乙基</w:t>
            </w:r>
            <w:r>
              <w:rPr>
                <w:rFonts w:hint="eastAsia"/>
                <w:kern w:val="0"/>
                <w:sz w:val="20"/>
                <w:lang w:eastAsia="zh-CN"/>
              </w:rPr>
              <w:t>）己酯增塑剂</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jc w:val="center"/>
              <w:rPr>
                <w:kern w:val="0"/>
                <w:sz w:val="20"/>
              </w:rPr>
            </w:pPr>
            <w:r>
              <w:rPr>
                <w:rFonts w:hint="eastAsia"/>
                <w:kern w:val="0"/>
                <w:sz w:val="20"/>
                <w:lang w:eastAsia="zh-CN"/>
              </w:rPr>
              <w:t>依据</w:t>
            </w:r>
            <w:r>
              <w:rPr>
                <w:kern w:val="0"/>
                <w:sz w:val="20"/>
              </w:rPr>
              <w:t>GB/T 29786</w:t>
            </w:r>
            <w:r>
              <w:rPr>
                <w:rFonts w:hint="eastAsia"/>
                <w:color w:val="000000"/>
                <w:kern w:val="0"/>
                <w:sz w:val="20"/>
                <w:lang w:eastAsia="zh-CN"/>
              </w:rPr>
              <w:t>检测并提供检测报告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136"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rPr>
                <w:kern w:val="0"/>
                <w:sz w:val="20"/>
              </w:rPr>
            </w:pPr>
            <w:r>
              <w:rPr>
                <w:kern w:val="0"/>
                <w:sz w:val="20"/>
              </w:rPr>
              <w:t>品质属性</w:t>
            </w:r>
          </w:p>
        </w:tc>
        <w:tc>
          <w:tcPr>
            <w:tcW w:w="34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型材灰分</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≤12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jc w:val="center"/>
              <w:rPr>
                <w:kern w:val="0"/>
                <w:sz w:val="20"/>
              </w:rPr>
            </w:pPr>
            <w:r>
              <w:rPr>
                <w:rFonts w:hint="eastAsia"/>
                <w:kern w:val="0"/>
                <w:sz w:val="20"/>
                <w:lang w:eastAsia="zh-CN"/>
              </w:rPr>
              <w:t>依据</w:t>
            </w:r>
            <w:r>
              <w:rPr>
                <w:kern w:val="0"/>
                <w:sz w:val="20"/>
              </w:rPr>
              <w:t>GB/T 9345.5</w:t>
            </w:r>
            <w:r>
              <w:rPr>
                <w:rFonts w:hint="eastAsia"/>
                <w:color w:val="000000"/>
                <w:kern w:val="0"/>
                <w:sz w:val="20"/>
                <w:lang w:eastAsia="zh-CN"/>
              </w:rPr>
              <w:t>检测并提供检测报告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136" w:type="dxa"/>
            <w:vMerge w:val="continue"/>
            <w:tcBorders>
              <w:top w:val="single" w:color="auto" w:sz="4" w:space="0"/>
              <w:left w:val="single" w:color="auto" w:sz="4" w:space="0"/>
              <w:right w:val="single" w:color="auto" w:sz="4" w:space="0"/>
            </w:tcBorders>
            <w:shd w:val="clear" w:color="auto" w:fill="auto"/>
            <w:vAlign w:val="center"/>
          </w:tcPr>
          <w:p>
            <w:pPr>
              <w:adjustRightInd w:val="0"/>
              <w:snapToGrid w:val="0"/>
              <w:rPr>
                <w:kern w:val="0"/>
                <w:sz w:val="20"/>
              </w:rPr>
            </w:pPr>
          </w:p>
        </w:tc>
        <w:tc>
          <w:tcPr>
            <w:tcW w:w="34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rFonts w:hint="eastAsia"/>
                <w:kern w:val="0"/>
                <w:sz w:val="20"/>
              </w:rPr>
              <w:t>氧指数</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w:t>
            </w:r>
            <w:r>
              <w:rPr>
                <w:rFonts w:hint="eastAsia"/>
                <w:kern w:val="0"/>
                <w:sz w:val="20"/>
              </w:rPr>
              <w:t>38</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jc w:val="center"/>
              <w:rPr>
                <w:kern w:val="0"/>
                <w:sz w:val="20"/>
              </w:rPr>
            </w:pPr>
            <w:r>
              <w:rPr>
                <w:rFonts w:hint="eastAsia"/>
                <w:sz w:val="20"/>
                <w:lang w:eastAsia="zh-CN"/>
              </w:rPr>
              <w:t>依据</w:t>
            </w:r>
            <w:r>
              <w:rPr>
                <w:sz w:val="20"/>
              </w:rPr>
              <w:t>GB</w:t>
            </w:r>
            <w:r>
              <w:rPr>
                <w:rFonts w:hint="eastAsia"/>
                <w:sz w:val="20"/>
              </w:rPr>
              <w:t>/T 240</w:t>
            </w:r>
            <w:r>
              <w:rPr>
                <w:rFonts w:hint="eastAsia"/>
                <w:sz w:val="20"/>
                <w:lang w:val="en-US" w:eastAsia="zh-CN"/>
              </w:rPr>
              <w:t>6.2</w:t>
            </w:r>
            <w:r>
              <w:rPr>
                <w:rFonts w:hint="eastAsia"/>
                <w:color w:val="000000"/>
                <w:kern w:val="0"/>
                <w:sz w:val="20"/>
                <w:lang w:eastAsia="zh-CN"/>
              </w:rPr>
              <w:t>检测并提供检测报告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c>
          <w:tcPr>
            <w:tcW w:w="14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老化时间</w:t>
            </w: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室内用</w:t>
            </w:r>
          </w:p>
        </w:tc>
        <w:tc>
          <w:tcPr>
            <w:tcW w:w="12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rFonts w:hint="eastAsia"/>
                <w:kern w:val="0"/>
                <w:sz w:val="20"/>
              </w:rPr>
              <w:t>h</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6000</w:t>
            </w:r>
          </w:p>
        </w:tc>
        <w:tc>
          <w:tcPr>
            <w:tcW w:w="1984"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jc w:val="center"/>
              <w:rPr>
                <w:kern w:val="0"/>
                <w:sz w:val="20"/>
              </w:rPr>
            </w:pPr>
            <w:r>
              <w:rPr>
                <w:rFonts w:hint="eastAsia"/>
                <w:kern w:val="0"/>
                <w:sz w:val="20"/>
                <w:lang w:eastAsia="zh-CN"/>
              </w:rPr>
              <w:t>依据</w:t>
            </w:r>
            <w:r>
              <w:rPr>
                <w:kern w:val="0"/>
                <w:sz w:val="20"/>
              </w:rPr>
              <w:t>GB/T 8814</w:t>
            </w:r>
            <w:r>
              <w:rPr>
                <w:rFonts w:hint="eastAsia"/>
                <w:color w:val="000000"/>
                <w:kern w:val="0"/>
                <w:sz w:val="20"/>
                <w:lang w:eastAsia="zh-CN"/>
              </w:rPr>
              <w:t>检测并提供检测报告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c>
          <w:tcPr>
            <w:tcW w:w="14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室外用</w:t>
            </w:r>
          </w:p>
        </w:tc>
        <w:tc>
          <w:tcPr>
            <w:tcW w:w="1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8000</w:t>
            </w:r>
          </w:p>
        </w:tc>
        <w:tc>
          <w:tcPr>
            <w:tcW w:w="1984" w:type="dxa"/>
            <w:vMerge w:val="continue"/>
            <w:tcBorders>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c>
          <w:tcPr>
            <w:tcW w:w="1494"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产品厚度</w:t>
            </w: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平开</w:t>
            </w:r>
          </w:p>
        </w:tc>
        <w:tc>
          <w:tcPr>
            <w:tcW w:w="1295"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mm</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≥65</w:t>
            </w:r>
          </w:p>
        </w:tc>
        <w:tc>
          <w:tcPr>
            <w:tcW w:w="1984"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jc w:val="center"/>
              <w:rPr>
                <w:rFonts w:hint="default" w:eastAsia="宋体"/>
                <w:kern w:val="0"/>
                <w:sz w:val="20"/>
                <w:lang w:val="en-US" w:eastAsia="zh-CN"/>
              </w:rPr>
            </w:pPr>
            <w:r>
              <w:rPr>
                <w:rFonts w:hint="eastAsia"/>
                <w:kern w:val="0"/>
                <w:sz w:val="20"/>
                <w:lang w:val="en-US" w:eastAsia="zh-CN"/>
              </w:rPr>
              <w:t>依据GB/T 8814</w:t>
            </w:r>
            <w:r>
              <w:rPr>
                <w:rFonts w:hint="eastAsia"/>
                <w:color w:val="000000"/>
                <w:kern w:val="0"/>
                <w:sz w:val="20"/>
                <w:lang w:eastAsia="zh-CN"/>
              </w:rPr>
              <w:t>检测并提供检测报告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c>
          <w:tcPr>
            <w:tcW w:w="1494"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c>
          <w:tcPr>
            <w:tcW w:w="690"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推拉</w:t>
            </w:r>
          </w:p>
        </w:tc>
        <w:tc>
          <w:tcPr>
            <w:tcW w:w="12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rFonts w:hint="eastAsia"/>
                <w:kern w:val="0"/>
                <w:sz w:val="20"/>
              </w:rPr>
              <w:t>框</w:t>
            </w:r>
          </w:p>
        </w:tc>
        <w:tc>
          <w:tcPr>
            <w:tcW w:w="1295"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w:t>
            </w:r>
            <w:r>
              <w:rPr>
                <w:rFonts w:hint="eastAsia"/>
                <w:kern w:val="0"/>
                <w:sz w:val="20"/>
              </w:rPr>
              <w:t>105</w:t>
            </w:r>
          </w:p>
        </w:tc>
        <w:tc>
          <w:tcPr>
            <w:tcW w:w="1984"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c>
          <w:tcPr>
            <w:tcW w:w="1494"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690"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2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rFonts w:hint="eastAsia"/>
                <w:kern w:val="0"/>
                <w:sz w:val="20"/>
              </w:rPr>
              <w:t>扇</w:t>
            </w:r>
          </w:p>
        </w:tc>
        <w:tc>
          <w:tcPr>
            <w:tcW w:w="1295"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w:t>
            </w:r>
            <w:r>
              <w:rPr>
                <w:rFonts w:hint="eastAsia"/>
                <w:kern w:val="0"/>
                <w:sz w:val="20"/>
              </w:rPr>
              <w:t>50</w:t>
            </w:r>
          </w:p>
        </w:tc>
        <w:tc>
          <w:tcPr>
            <w:tcW w:w="1984"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c>
          <w:tcPr>
            <w:tcW w:w="1494"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腔体结构数量</w:t>
            </w: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平开</w:t>
            </w:r>
          </w:p>
        </w:tc>
        <w:tc>
          <w:tcPr>
            <w:tcW w:w="1295"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个</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≥5</w:t>
            </w:r>
          </w:p>
        </w:tc>
        <w:tc>
          <w:tcPr>
            <w:tcW w:w="1984"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int="eastAsia" w:eastAsia="宋体"/>
                <w:kern w:val="0"/>
                <w:sz w:val="20"/>
                <w:lang w:eastAsia="zh-CN"/>
              </w:rPr>
            </w:pPr>
            <w:r>
              <w:rPr>
                <w:rFonts w:hint="eastAsia"/>
                <w:kern w:val="0"/>
                <w:sz w:val="20"/>
                <w:lang w:eastAsia="zh-CN"/>
              </w:rPr>
              <w:t>提供设计数据说明文件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c>
          <w:tcPr>
            <w:tcW w:w="1494"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c>
          <w:tcPr>
            <w:tcW w:w="709" w:type="dxa"/>
            <w:gridSpan w:val="2"/>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推拉</w:t>
            </w: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rFonts w:hint="eastAsia"/>
                <w:kern w:val="0"/>
                <w:sz w:val="20"/>
              </w:rPr>
              <w:t>框</w:t>
            </w:r>
          </w:p>
        </w:tc>
        <w:tc>
          <w:tcPr>
            <w:tcW w:w="1295"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w:t>
            </w:r>
            <w:r>
              <w:rPr>
                <w:rFonts w:hint="eastAsia"/>
                <w:kern w:val="0"/>
                <w:sz w:val="20"/>
              </w:rPr>
              <w:t>4</w:t>
            </w:r>
          </w:p>
        </w:tc>
        <w:tc>
          <w:tcPr>
            <w:tcW w:w="1984"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c>
          <w:tcPr>
            <w:tcW w:w="1494"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709" w:type="dxa"/>
            <w:gridSpan w:val="2"/>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rFonts w:hint="eastAsia"/>
                <w:kern w:val="0"/>
                <w:sz w:val="20"/>
              </w:rPr>
              <w:t>扇</w:t>
            </w:r>
          </w:p>
        </w:tc>
        <w:tc>
          <w:tcPr>
            <w:tcW w:w="1295"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w:t>
            </w:r>
            <w:r>
              <w:rPr>
                <w:rFonts w:hint="eastAsia"/>
                <w:kern w:val="0"/>
                <w:sz w:val="20"/>
              </w:rPr>
              <w:t>3</w:t>
            </w:r>
          </w:p>
        </w:tc>
        <w:tc>
          <w:tcPr>
            <w:tcW w:w="1984"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136" w:type="dxa"/>
            <w:vMerge w:val="continue"/>
            <w:tcBorders>
              <w:left w:val="single" w:color="auto" w:sz="4" w:space="0"/>
              <w:right w:val="single" w:color="auto" w:sz="4" w:space="0"/>
            </w:tcBorders>
            <w:shd w:val="clear" w:color="auto" w:fill="auto"/>
            <w:vAlign w:val="center"/>
          </w:tcPr>
          <w:p>
            <w:pPr>
              <w:adjustRightInd w:val="0"/>
              <w:snapToGrid w:val="0"/>
              <w:jc w:val="center"/>
              <w:rPr>
                <w:kern w:val="0"/>
                <w:sz w:val="20"/>
              </w:rPr>
            </w:pPr>
          </w:p>
        </w:tc>
        <w:tc>
          <w:tcPr>
            <w:tcW w:w="1494"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jc w:val="center"/>
              <w:rPr>
                <w:kern w:val="0"/>
                <w:sz w:val="20"/>
              </w:rPr>
            </w:pPr>
            <w:r>
              <w:rPr>
                <w:kern w:val="0"/>
                <w:sz w:val="20"/>
              </w:rPr>
              <w:t>主型材壁厚</w:t>
            </w:r>
          </w:p>
        </w:tc>
        <w:tc>
          <w:tcPr>
            <w:tcW w:w="709" w:type="dxa"/>
            <w:gridSpan w:val="2"/>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平开</w:t>
            </w: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可视面</w:t>
            </w:r>
          </w:p>
        </w:tc>
        <w:tc>
          <w:tcPr>
            <w:tcW w:w="1295"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mm</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≥2.8</w:t>
            </w:r>
          </w:p>
        </w:tc>
        <w:tc>
          <w:tcPr>
            <w:tcW w:w="1984"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jc w:val="center"/>
              <w:rPr>
                <w:kern w:val="0"/>
                <w:sz w:val="20"/>
              </w:rPr>
            </w:pPr>
            <w:r>
              <w:rPr>
                <w:rFonts w:hint="eastAsia"/>
                <w:kern w:val="0"/>
                <w:sz w:val="20"/>
                <w:lang w:eastAsia="zh-CN"/>
              </w:rPr>
              <w:t>依据</w:t>
            </w:r>
            <w:r>
              <w:rPr>
                <w:kern w:val="0"/>
                <w:sz w:val="20"/>
              </w:rPr>
              <w:t>GB/T 8814</w:t>
            </w:r>
            <w:r>
              <w:rPr>
                <w:rFonts w:hint="eastAsia"/>
                <w:color w:val="000000"/>
                <w:kern w:val="0"/>
                <w:sz w:val="20"/>
                <w:lang w:eastAsia="zh-CN"/>
              </w:rPr>
              <w:t>检测并提供检测报告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1136" w:type="dxa"/>
            <w:vMerge w:val="continue"/>
            <w:tcBorders>
              <w:left w:val="single" w:color="auto" w:sz="4" w:space="0"/>
              <w:right w:val="single" w:color="auto" w:sz="4" w:space="0"/>
            </w:tcBorders>
            <w:shd w:val="clear" w:color="auto" w:fill="auto"/>
            <w:vAlign w:val="center"/>
          </w:tcPr>
          <w:p>
            <w:pPr>
              <w:adjustRightInd w:val="0"/>
              <w:snapToGrid w:val="0"/>
              <w:jc w:val="center"/>
              <w:rPr>
                <w:sz w:val="24"/>
              </w:rPr>
            </w:pPr>
          </w:p>
        </w:tc>
        <w:tc>
          <w:tcPr>
            <w:tcW w:w="1494" w:type="dxa"/>
            <w:vMerge w:val="continue"/>
            <w:tcBorders>
              <w:left w:val="single" w:color="auto" w:sz="4" w:space="0"/>
              <w:right w:val="single" w:color="auto" w:sz="4" w:space="0"/>
            </w:tcBorders>
            <w:shd w:val="clear" w:color="auto" w:fill="auto"/>
            <w:vAlign w:val="center"/>
          </w:tcPr>
          <w:p>
            <w:pPr>
              <w:autoSpaceDE w:val="0"/>
              <w:autoSpaceDN w:val="0"/>
              <w:adjustRightInd w:val="0"/>
              <w:snapToGrid w:val="0"/>
              <w:jc w:val="center"/>
              <w:rPr>
                <w:sz w:val="24"/>
              </w:rPr>
            </w:pPr>
          </w:p>
        </w:tc>
        <w:tc>
          <w:tcPr>
            <w:tcW w:w="709" w:type="dxa"/>
            <w:gridSpan w:val="2"/>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sz w:val="24"/>
              </w:rPr>
            </w:pP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sz w:val="24"/>
              </w:rPr>
            </w:pPr>
            <w:r>
              <w:rPr>
                <w:rFonts w:ascii="宋体" w:hAnsi="宋体" w:cs="宋体"/>
                <w:kern w:val="0"/>
                <w:sz w:val="20"/>
              </w:rPr>
              <w:t>非可视面</w:t>
            </w:r>
          </w:p>
        </w:tc>
        <w:tc>
          <w:tcPr>
            <w:tcW w:w="1295" w:type="dxa"/>
            <w:vMerge w:val="continue"/>
            <w:tcBorders>
              <w:left w:val="single" w:color="auto" w:sz="4" w:space="0"/>
              <w:right w:val="single" w:color="auto" w:sz="4" w:space="0"/>
            </w:tcBorders>
            <w:shd w:val="clear" w:color="auto" w:fill="auto"/>
            <w:vAlign w:val="center"/>
          </w:tcPr>
          <w:p>
            <w:pPr>
              <w:adjustRightInd w:val="0"/>
              <w:snapToGrid w:val="0"/>
              <w:jc w:val="center"/>
              <w:rPr>
                <w:sz w:val="20"/>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≥2.5</w:t>
            </w:r>
          </w:p>
        </w:tc>
        <w:tc>
          <w:tcPr>
            <w:tcW w:w="1984" w:type="dxa"/>
            <w:vMerge w:val="continue"/>
            <w:tcBorders>
              <w:left w:val="single" w:color="auto" w:sz="4" w:space="0"/>
              <w:right w:val="single" w:color="auto" w:sz="4" w:space="0"/>
            </w:tcBorders>
            <w:shd w:val="clear" w:color="auto" w:fill="auto"/>
            <w:vAlign w:val="center"/>
          </w:tcPr>
          <w:p>
            <w:pPr>
              <w:autoSpaceDE w:val="0"/>
              <w:autoSpaceDN w:val="0"/>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136" w:type="dxa"/>
            <w:vMerge w:val="continue"/>
            <w:tcBorders>
              <w:left w:val="single" w:color="auto" w:sz="4" w:space="0"/>
              <w:right w:val="single" w:color="auto" w:sz="4" w:space="0"/>
            </w:tcBorders>
            <w:shd w:val="clear" w:color="auto" w:fill="auto"/>
            <w:vAlign w:val="center"/>
          </w:tcPr>
          <w:p>
            <w:pPr>
              <w:adjustRightInd w:val="0"/>
              <w:snapToGrid w:val="0"/>
              <w:jc w:val="center"/>
              <w:rPr>
                <w:sz w:val="24"/>
              </w:rPr>
            </w:pPr>
          </w:p>
        </w:tc>
        <w:tc>
          <w:tcPr>
            <w:tcW w:w="1494"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kern w:val="0"/>
                <w:sz w:val="20"/>
              </w:rPr>
            </w:pPr>
          </w:p>
        </w:tc>
        <w:tc>
          <w:tcPr>
            <w:tcW w:w="709" w:type="dxa"/>
            <w:gridSpan w:val="2"/>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cs="宋体"/>
                <w:kern w:val="0"/>
                <w:sz w:val="20"/>
              </w:rPr>
            </w:pPr>
            <w:r>
              <w:rPr>
                <w:rFonts w:hint="eastAsia" w:ascii="宋体" w:hAnsi="宋体" w:cs="宋体"/>
                <w:kern w:val="0"/>
                <w:sz w:val="20"/>
              </w:rPr>
              <w:t>推拉</w:t>
            </w: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kern w:val="0"/>
                <w:sz w:val="20"/>
              </w:rPr>
            </w:pPr>
            <w:r>
              <w:rPr>
                <w:rFonts w:ascii="宋体" w:hAnsi="宋体" w:cs="宋体"/>
                <w:kern w:val="0"/>
                <w:sz w:val="20"/>
              </w:rPr>
              <w:t>可视面</w:t>
            </w:r>
          </w:p>
        </w:tc>
        <w:tc>
          <w:tcPr>
            <w:tcW w:w="1295" w:type="dxa"/>
            <w:vMerge w:val="continue"/>
            <w:tcBorders>
              <w:left w:val="single" w:color="auto" w:sz="4" w:space="0"/>
              <w:right w:val="single" w:color="auto" w:sz="4" w:space="0"/>
            </w:tcBorders>
            <w:shd w:val="clear" w:color="auto" w:fill="auto"/>
            <w:vAlign w:val="center"/>
          </w:tcPr>
          <w:p>
            <w:pPr>
              <w:adjustRightInd w:val="0"/>
              <w:snapToGrid w:val="0"/>
              <w:jc w:val="center"/>
              <w:rPr>
                <w:sz w:val="20"/>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≥2.</w:t>
            </w:r>
            <w:r>
              <w:rPr>
                <w:rFonts w:hint="eastAsia"/>
                <w:kern w:val="0"/>
                <w:sz w:val="20"/>
              </w:rPr>
              <w:t>5</w:t>
            </w:r>
          </w:p>
        </w:tc>
        <w:tc>
          <w:tcPr>
            <w:tcW w:w="1984"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136"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sz w:val="24"/>
              </w:rPr>
            </w:pPr>
          </w:p>
        </w:tc>
        <w:tc>
          <w:tcPr>
            <w:tcW w:w="1494"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kern w:val="0"/>
                <w:sz w:val="20"/>
              </w:rPr>
            </w:pPr>
          </w:p>
        </w:tc>
        <w:tc>
          <w:tcPr>
            <w:tcW w:w="709" w:type="dxa"/>
            <w:gridSpan w:val="2"/>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kern w:val="0"/>
                <w:sz w:val="20"/>
              </w:rPr>
            </w:pP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kern w:val="0"/>
                <w:sz w:val="20"/>
              </w:rPr>
            </w:pPr>
            <w:r>
              <w:rPr>
                <w:rFonts w:ascii="宋体" w:hAnsi="宋体" w:cs="宋体"/>
                <w:kern w:val="0"/>
                <w:sz w:val="20"/>
              </w:rPr>
              <w:t>非可视面</w:t>
            </w:r>
          </w:p>
        </w:tc>
        <w:tc>
          <w:tcPr>
            <w:tcW w:w="1295"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sz w:val="20"/>
              </w:rPr>
            </w:pP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kern w:val="0"/>
                <w:sz w:val="20"/>
              </w:rPr>
            </w:pPr>
            <w:r>
              <w:rPr>
                <w:kern w:val="0"/>
                <w:sz w:val="20"/>
              </w:rPr>
              <w:t>≥2.</w:t>
            </w:r>
            <w:r>
              <w:rPr>
                <w:rFonts w:hint="eastAsia"/>
                <w:kern w:val="0"/>
                <w:sz w:val="20"/>
              </w:rPr>
              <w:t>2</w:t>
            </w:r>
          </w:p>
        </w:tc>
        <w:tc>
          <w:tcPr>
            <w:tcW w:w="1984"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kern w:val="0"/>
                <w:sz w:val="20"/>
              </w:rPr>
            </w:pPr>
          </w:p>
        </w:tc>
      </w:tr>
    </w:tbl>
    <w:p>
      <w:pPr>
        <w:pStyle w:val="11"/>
        <w:keepNext w:val="0"/>
        <w:keepLines w:val="0"/>
        <w:pageBreakBefore w:val="0"/>
        <w:numPr>
          <w:numId w:val="0"/>
        </w:numPr>
        <w:kinsoku/>
        <w:wordWrap/>
        <w:overflowPunct/>
        <w:topLinePunct w:val="0"/>
        <w:bidi w:val="0"/>
        <w:adjustRightInd/>
        <w:snapToGrid/>
        <w:spacing w:line="360" w:lineRule="auto"/>
        <w:ind w:leftChars="200"/>
        <w:textAlignment w:val="auto"/>
        <w:rPr>
          <w:rFonts w:hint="default"/>
          <w:sz w:val="24"/>
          <w:szCs w:val="24"/>
          <w:lang w:val="en-US" w:eastAsia="zh-CN"/>
        </w:rPr>
      </w:pPr>
    </w:p>
    <w:p>
      <w:pPr>
        <w:pStyle w:val="11"/>
        <w:keepNext w:val="0"/>
        <w:keepLines w:val="0"/>
        <w:pageBreakBefore w:val="0"/>
        <w:kinsoku/>
        <w:wordWrap/>
        <w:overflowPunct/>
        <w:topLinePunct w:val="0"/>
        <w:bidi w:val="0"/>
        <w:adjustRightInd/>
        <w:snapToGrid/>
        <w:spacing w:line="360" w:lineRule="auto"/>
        <w:ind w:firstLine="480"/>
        <w:textAlignment w:val="auto"/>
        <w:rPr>
          <w:rFonts w:hint="eastAsia" w:cs="Times New Roman"/>
          <w:sz w:val="24"/>
          <w:szCs w:val="24"/>
          <w:lang w:val="en-US" w:eastAsia="zh-CN" w:bidi="ar-SA"/>
        </w:rPr>
      </w:pPr>
      <w:r>
        <w:rPr>
          <w:rFonts w:hint="eastAsia" w:ascii="宋体" w:hAnsi="Times New Roman" w:eastAsia="宋体" w:cs="Times New Roman"/>
          <w:sz w:val="24"/>
          <w:szCs w:val="24"/>
          <w:lang w:val="en-US" w:eastAsia="zh-CN" w:bidi="ar-SA"/>
        </w:rPr>
        <w:t>第五部分为产品生命周期评价方法及评价报告编制方法</w:t>
      </w:r>
      <w:r>
        <w:rPr>
          <w:rFonts w:hint="eastAsia" w:cs="Times New Roman"/>
          <w:sz w:val="24"/>
          <w:szCs w:val="24"/>
          <w:lang w:val="en-US" w:eastAsia="zh-CN" w:bidi="ar-SA"/>
        </w:rPr>
        <w:t>。</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sz w:val="24"/>
          <w:szCs w:val="24"/>
        </w:rPr>
      </w:pPr>
      <w:r>
        <w:rPr>
          <w:rFonts w:hint="eastAsia"/>
          <w:sz w:val="24"/>
          <w:szCs w:val="24"/>
          <w:lang w:eastAsia="zh-CN"/>
        </w:rPr>
        <w:t>第六部分为</w:t>
      </w:r>
      <w:r>
        <w:rPr>
          <w:rFonts w:hint="eastAsia"/>
          <w:sz w:val="24"/>
          <w:szCs w:val="24"/>
        </w:rPr>
        <w:t>评价</w:t>
      </w:r>
      <w:r>
        <w:rPr>
          <w:rFonts w:hint="eastAsia"/>
          <w:sz w:val="24"/>
          <w:szCs w:val="24"/>
          <w:lang w:eastAsia="zh-CN"/>
        </w:rPr>
        <w:t>结论</w:t>
      </w:r>
      <w:r>
        <w:rPr>
          <w:rFonts w:hint="eastAsia"/>
          <w:sz w:val="24"/>
          <w:szCs w:val="24"/>
        </w:rPr>
        <w:t>。</w:t>
      </w:r>
    </w:p>
    <w:p>
      <w:pPr>
        <w:pStyle w:val="11"/>
      </w:pPr>
      <w:r>
        <w:rPr>
          <w:rFonts w:hint="eastAsia"/>
        </w:rPr>
        <w:t xml:space="preserve">满足以下要求的产品可判定为绿色设计产品 </w:t>
      </w:r>
      <w:r>
        <w:t>:</w:t>
      </w:r>
    </w:p>
    <w:p>
      <w:pPr>
        <w:pStyle w:val="27"/>
      </w:pPr>
      <w:r>
        <w:rPr>
          <w:rFonts w:hint="eastAsia"/>
        </w:rPr>
        <w:t>满足本标准4.1的要求；</w:t>
      </w:r>
    </w:p>
    <w:p>
      <w:pPr>
        <w:pStyle w:val="27"/>
      </w:pPr>
      <w:r>
        <w:rPr>
          <w:rFonts w:hint="eastAsia"/>
        </w:rPr>
        <w:t>满足本标准4.2的要求；</w:t>
      </w:r>
    </w:p>
    <w:p>
      <w:pPr>
        <w:pStyle w:val="27"/>
      </w:pPr>
      <w:r>
        <w:rPr>
          <w:rFonts w:hint="eastAsia"/>
        </w:rPr>
        <w:t>按照本</w:t>
      </w:r>
      <w:r>
        <w:t>标准</w:t>
      </w:r>
      <w:r>
        <w:rPr>
          <w:rFonts w:hint="eastAsia"/>
        </w:rPr>
        <w:t>5的</w:t>
      </w:r>
      <w:r>
        <w:t>要求</w:t>
      </w:r>
      <w:r>
        <w:rPr>
          <w:rFonts w:hint="eastAsia"/>
        </w:rPr>
        <w:t>提供</w:t>
      </w:r>
      <w:r>
        <w:rPr>
          <w:rFonts w:hint="eastAsia"/>
          <w:lang w:eastAsia="zh-CN"/>
        </w:rPr>
        <w:t>门窗用塑料型材</w:t>
      </w:r>
      <w:r>
        <w:rPr>
          <w:rFonts w:hint="eastAsia"/>
        </w:rPr>
        <w:t>生命周期评价报告。</w:t>
      </w:r>
    </w:p>
    <w:p>
      <w:pPr>
        <w:pStyle w:val="11"/>
        <w:rPr>
          <w:rFonts w:hint="eastAsia"/>
          <w:sz w:val="24"/>
          <w:szCs w:val="24"/>
        </w:rPr>
      </w:pPr>
      <w:r>
        <w:rPr>
          <w:rFonts w:hint="eastAsia"/>
        </w:rPr>
        <w:t>判定为绿色设计产品的可按照 GB/T 32162的要求粘贴标识，可以各种形式进行相关信息自我声明，声明内容应包括但不限于本标准 4.1和4.2的要求，但需要提供相关的符合有关要求的验证说明材料。</w:t>
      </w:r>
    </w:p>
    <w:p>
      <w:pPr>
        <w:spacing w:line="360" w:lineRule="auto"/>
        <w:rPr>
          <w:rFonts w:hint="eastAsia"/>
          <w:sz w:val="24"/>
          <w:szCs w:val="24"/>
        </w:rPr>
      </w:pPr>
      <w:r>
        <w:rPr>
          <w:rFonts w:hint="eastAsia" w:ascii="黑体" w:hAnsi="黑体" w:eastAsia="黑体" w:cs="宋体"/>
          <w:b/>
          <w:kern w:val="0"/>
          <w:sz w:val="32"/>
          <w:szCs w:val="32"/>
        </w:rPr>
        <w:t>三．</w:t>
      </w:r>
      <w:r>
        <w:rPr>
          <w:rFonts w:ascii="黑体" w:hAnsi="黑体" w:eastAsia="黑体" w:cs="宋体"/>
          <w:b/>
          <w:kern w:val="0"/>
          <w:sz w:val="32"/>
          <w:szCs w:val="32"/>
        </w:rPr>
        <w:t>主要验证</w:t>
      </w:r>
      <w:r>
        <w:rPr>
          <w:rFonts w:hint="eastAsia" w:ascii="黑体" w:hAnsi="黑体" w:eastAsia="黑体" w:cs="宋体"/>
          <w:b/>
          <w:kern w:val="0"/>
          <w:sz w:val="32"/>
          <w:szCs w:val="32"/>
        </w:rPr>
        <w:t>数据</w:t>
      </w:r>
      <w:r>
        <w:rPr>
          <w:rFonts w:ascii="黑体" w:hAnsi="黑体" w:eastAsia="黑体" w:cs="宋体"/>
          <w:b/>
          <w:kern w:val="0"/>
          <w:sz w:val="32"/>
          <w:szCs w:val="32"/>
        </w:rPr>
        <w:t>分析</w:t>
      </w:r>
      <w:r>
        <w:rPr>
          <w:rFonts w:hint="eastAsia" w:ascii="黑体" w:hAnsi="黑体" w:eastAsia="黑体" w:cs="宋体"/>
          <w:b/>
          <w:kern w:val="0"/>
          <w:sz w:val="32"/>
          <w:szCs w:val="32"/>
        </w:rPr>
        <w:t>及</w:t>
      </w:r>
      <w:r>
        <w:rPr>
          <w:rFonts w:ascii="黑体" w:hAnsi="黑体" w:eastAsia="黑体" w:cs="宋体"/>
          <w:b/>
          <w:kern w:val="0"/>
          <w:sz w:val="32"/>
          <w:szCs w:val="32"/>
        </w:rPr>
        <w:t>预期经济效果</w:t>
      </w:r>
    </w:p>
    <w:p>
      <w:pPr>
        <w:spacing w:line="360" w:lineRule="auto"/>
        <w:ind w:firstLine="480" w:firstLineChars="200"/>
        <w:rPr>
          <w:sz w:val="24"/>
          <w:szCs w:val="24"/>
        </w:rPr>
      </w:pPr>
      <w:r>
        <w:rPr>
          <w:rFonts w:hint="eastAsia"/>
          <w:sz w:val="24"/>
          <w:szCs w:val="24"/>
        </w:rPr>
        <w:t>本标准通过对大量样品的实验数据验证（具体验证数据见后面附表），对门窗用塑料型材</w:t>
      </w:r>
      <w:r>
        <w:rPr>
          <w:rFonts w:hint="eastAsia" w:hAnsi="宋体" w:cs="宋体"/>
          <w:spacing w:val="-6"/>
          <w:sz w:val="24"/>
          <w:szCs w:val="24"/>
        </w:rPr>
        <w:t>中与</w:t>
      </w:r>
      <w:r>
        <w:rPr>
          <w:rFonts w:hint="eastAsia"/>
          <w:sz w:val="24"/>
          <w:szCs w:val="24"/>
        </w:rPr>
        <w:t>人身健康安全密切相关、与环保紧密相连，能体现绿色产品的指标进行了明确规定，鼓励绿色门窗用塑料型材采用可再生资源、能源以及清洁能源。具体验证结果见下表：</w:t>
      </w:r>
    </w:p>
    <w:p>
      <w:pPr>
        <w:pStyle w:val="20"/>
        <w:numPr>
          <w:ilvl w:val="0"/>
          <w:numId w:val="0"/>
        </w:numPr>
        <w:spacing w:before="156" w:beforeLines="50" w:after="156" w:afterLines="50"/>
        <w:jc w:val="center"/>
      </w:pPr>
      <w:r>
        <w:rPr>
          <w:rFonts w:hint="eastAsia"/>
        </w:rPr>
        <w:t>表1门窗用未增塑聚氯乙烯（PVC-U）型材评价指标验证数据</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69"/>
        <w:gridCol w:w="697"/>
        <w:gridCol w:w="795"/>
        <w:gridCol w:w="1215"/>
        <w:gridCol w:w="2294"/>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pStyle w:val="11"/>
              <w:widowControl w:val="0"/>
              <w:ind w:firstLine="0" w:firstLineChars="0"/>
              <w:jc w:val="center"/>
              <w:rPr>
                <w:rFonts w:ascii="Times New Roman"/>
              </w:rPr>
            </w:pPr>
            <w:r>
              <w:rPr>
                <w:rFonts w:ascii="Times New Roman"/>
              </w:rPr>
              <w:t>序号</w:t>
            </w:r>
          </w:p>
        </w:tc>
        <w:tc>
          <w:tcPr>
            <w:tcW w:w="2161" w:type="dxa"/>
            <w:gridSpan w:val="3"/>
            <w:vAlign w:val="center"/>
          </w:tcPr>
          <w:p>
            <w:pPr>
              <w:pStyle w:val="11"/>
              <w:widowControl w:val="0"/>
              <w:ind w:firstLine="0" w:firstLineChars="0"/>
              <w:jc w:val="center"/>
              <w:rPr>
                <w:rFonts w:ascii="Times New Roman"/>
              </w:rPr>
            </w:pPr>
            <w:r>
              <w:rPr>
                <w:rFonts w:ascii="Times New Roman"/>
              </w:rPr>
              <w:t>指标</w:t>
            </w:r>
          </w:p>
        </w:tc>
        <w:tc>
          <w:tcPr>
            <w:tcW w:w="1215" w:type="dxa"/>
            <w:vAlign w:val="center"/>
          </w:tcPr>
          <w:p>
            <w:pPr>
              <w:pStyle w:val="11"/>
              <w:widowControl w:val="0"/>
              <w:ind w:firstLine="0" w:firstLineChars="0"/>
              <w:jc w:val="center"/>
              <w:rPr>
                <w:rFonts w:ascii="Times New Roman"/>
              </w:rPr>
            </w:pPr>
            <w:r>
              <w:rPr>
                <w:rFonts w:ascii="Times New Roman"/>
              </w:rPr>
              <w:t>单位</w:t>
            </w:r>
          </w:p>
        </w:tc>
        <w:tc>
          <w:tcPr>
            <w:tcW w:w="2294" w:type="dxa"/>
            <w:vAlign w:val="center"/>
          </w:tcPr>
          <w:p>
            <w:pPr>
              <w:pStyle w:val="11"/>
              <w:widowControl w:val="0"/>
              <w:ind w:firstLine="0" w:firstLineChars="0"/>
              <w:jc w:val="center"/>
              <w:rPr>
                <w:rFonts w:ascii="Times New Roman"/>
              </w:rPr>
            </w:pPr>
            <w:r>
              <w:rPr>
                <w:rFonts w:ascii="Times New Roman"/>
              </w:rPr>
              <w:t>要求</w:t>
            </w:r>
          </w:p>
        </w:tc>
        <w:tc>
          <w:tcPr>
            <w:tcW w:w="2177" w:type="dxa"/>
            <w:vAlign w:val="center"/>
          </w:tcPr>
          <w:p>
            <w:pPr>
              <w:pStyle w:val="11"/>
              <w:widowControl w:val="0"/>
              <w:ind w:firstLine="0" w:firstLineChars="0"/>
              <w:jc w:val="center"/>
              <w:rPr>
                <w:rFonts w:ascii="Times New Roman"/>
                <w:color w:val="auto"/>
              </w:rPr>
            </w:pPr>
            <w:r>
              <w:rPr>
                <w:rFonts w:ascii="Times New Roman"/>
                <w:color w:val="auto"/>
              </w:rPr>
              <w:t>验证情况（符合率%）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pStyle w:val="11"/>
              <w:widowControl w:val="0"/>
              <w:ind w:firstLine="0" w:firstLineChars="0"/>
              <w:jc w:val="center"/>
              <w:rPr>
                <w:rFonts w:ascii="Times New Roman"/>
              </w:rPr>
            </w:pPr>
            <w:r>
              <w:rPr>
                <w:rFonts w:ascii="Times New Roman"/>
              </w:rPr>
              <w:t>1</w:t>
            </w:r>
          </w:p>
        </w:tc>
        <w:tc>
          <w:tcPr>
            <w:tcW w:w="2161" w:type="dxa"/>
            <w:gridSpan w:val="3"/>
            <w:vAlign w:val="center"/>
          </w:tcPr>
          <w:p>
            <w:pPr>
              <w:adjustRightInd w:val="0"/>
              <w:snapToGrid w:val="0"/>
              <w:jc w:val="center"/>
            </w:pPr>
            <w:r>
              <w:rPr>
                <w:color w:val="000000"/>
                <w:kern w:val="0"/>
                <w:sz w:val="20"/>
              </w:rPr>
              <w:t>氯乙烯单体</w:t>
            </w:r>
          </w:p>
        </w:tc>
        <w:tc>
          <w:tcPr>
            <w:tcW w:w="1215" w:type="dxa"/>
            <w:vAlign w:val="center"/>
          </w:tcPr>
          <w:p>
            <w:pPr>
              <w:adjustRightInd w:val="0"/>
              <w:snapToGrid w:val="0"/>
              <w:jc w:val="center"/>
              <w:rPr>
                <w:sz w:val="18"/>
                <w:szCs w:val="18"/>
              </w:rPr>
            </w:pPr>
            <w:r>
              <w:rPr>
                <w:color w:val="000000"/>
                <w:kern w:val="0"/>
                <w:sz w:val="20"/>
              </w:rPr>
              <w:t>mg/kg</w:t>
            </w:r>
          </w:p>
        </w:tc>
        <w:tc>
          <w:tcPr>
            <w:tcW w:w="2294" w:type="dxa"/>
            <w:vAlign w:val="center"/>
          </w:tcPr>
          <w:p>
            <w:pPr>
              <w:adjustRightInd w:val="0"/>
              <w:snapToGrid w:val="0"/>
              <w:jc w:val="center"/>
            </w:pPr>
            <w:r>
              <w:rPr>
                <w:color w:val="000000"/>
                <w:kern w:val="0"/>
                <w:sz w:val="20"/>
              </w:rPr>
              <w:t>≤3</w:t>
            </w:r>
          </w:p>
        </w:tc>
        <w:tc>
          <w:tcPr>
            <w:tcW w:w="2177" w:type="dxa"/>
            <w:vAlign w:val="center"/>
          </w:tcPr>
          <w:p>
            <w:pPr>
              <w:pStyle w:val="11"/>
              <w:widowControl w:val="0"/>
              <w:ind w:firstLine="0" w:firstLineChars="0"/>
              <w:jc w:val="center"/>
              <w:rPr>
                <w:rFonts w:hint="default" w:ascii="Times New Roman" w:eastAsia="宋体"/>
                <w:color w:val="auto"/>
                <w:lang w:val="en-US" w:eastAsia="zh-CN"/>
              </w:rPr>
            </w:pPr>
            <w:r>
              <w:rPr>
                <w:rFonts w:hint="eastAsia" w:ascii="Times New Roman"/>
                <w:color w:val="auto"/>
                <w:lang w:val="en-US" w:eastAsia="zh-CN"/>
              </w:rPr>
              <w:t>26/29=89.7%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pStyle w:val="11"/>
              <w:widowControl w:val="0"/>
              <w:ind w:firstLine="0" w:firstLineChars="0"/>
              <w:jc w:val="center"/>
              <w:rPr>
                <w:rFonts w:ascii="Times New Roman"/>
              </w:rPr>
            </w:pPr>
            <w:r>
              <w:rPr>
                <w:rFonts w:ascii="Times New Roman"/>
              </w:rPr>
              <w:t>2</w:t>
            </w:r>
          </w:p>
        </w:tc>
        <w:tc>
          <w:tcPr>
            <w:tcW w:w="2161" w:type="dxa"/>
            <w:gridSpan w:val="3"/>
            <w:vAlign w:val="center"/>
          </w:tcPr>
          <w:p>
            <w:pPr>
              <w:adjustRightInd w:val="0"/>
              <w:snapToGrid w:val="0"/>
              <w:jc w:val="center"/>
              <w:rPr>
                <w:kern w:val="0"/>
                <w:sz w:val="18"/>
                <w:szCs w:val="18"/>
              </w:rPr>
            </w:pPr>
            <w:r>
              <w:rPr>
                <w:color w:val="000000"/>
                <w:kern w:val="0"/>
                <w:sz w:val="20"/>
              </w:rPr>
              <w:t>稳定剂</w:t>
            </w:r>
          </w:p>
        </w:tc>
        <w:tc>
          <w:tcPr>
            <w:tcW w:w="1215" w:type="dxa"/>
            <w:vAlign w:val="center"/>
          </w:tcPr>
          <w:p>
            <w:pPr>
              <w:adjustRightInd w:val="0"/>
              <w:snapToGrid w:val="0"/>
              <w:jc w:val="center"/>
              <w:rPr>
                <w:kern w:val="0"/>
                <w:sz w:val="18"/>
                <w:szCs w:val="18"/>
              </w:rPr>
            </w:pPr>
          </w:p>
        </w:tc>
        <w:tc>
          <w:tcPr>
            <w:tcW w:w="2294" w:type="dxa"/>
            <w:vAlign w:val="center"/>
          </w:tcPr>
          <w:p>
            <w:pPr>
              <w:adjustRightInd w:val="0"/>
              <w:snapToGrid w:val="0"/>
              <w:jc w:val="center"/>
              <w:rPr>
                <w:kern w:val="0"/>
                <w:sz w:val="18"/>
                <w:szCs w:val="18"/>
              </w:rPr>
            </w:pPr>
            <w:r>
              <w:rPr>
                <w:color w:val="000000"/>
                <w:kern w:val="0"/>
                <w:sz w:val="20"/>
              </w:rPr>
              <w:t>不得使用铅盐、镉盐</w:t>
            </w:r>
          </w:p>
        </w:tc>
        <w:tc>
          <w:tcPr>
            <w:tcW w:w="2177" w:type="dxa"/>
            <w:vAlign w:val="center"/>
          </w:tcPr>
          <w:p>
            <w:pPr>
              <w:pStyle w:val="11"/>
              <w:widowControl w:val="0"/>
              <w:ind w:firstLine="0" w:firstLineChars="0"/>
              <w:jc w:val="center"/>
              <w:rPr>
                <w:rFonts w:hint="default" w:ascii="Times New Roman" w:eastAsia="宋体"/>
                <w:color w:val="auto"/>
                <w:lang w:val="en-US" w:eastAsia="zh-CN"/>
              </w:rPr>
            </w:pPr>
            <w:r>
              <w:rPr>
                <w:rFonts w:hint="eastAsia" w:ascii="Times New Roman"/>
                <w:color w:val="auto"/>
                <w:lang w:val="en-US" w:eastAsia="zh-CN"/>
              </w:rPr>
              <w:t>10/29=34.5%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675" w:type="dxa"/>
            <w:vAlign w:val="center"/>
          </w:tcPr>
          <w:p>
            <w:pPr>
              <w:pStyle w:val="11"/>
              <w:widowControl w:val="0"/>
              <w:ind w:firstLine="0" w:firstLineChars="0"/>
              <w:jc w:val="center"/>
              <w:rPr>
                <w:rFonts w:ascii="Times New Roman"/>
              </w:rPr>
            </w:pPr>
            <w:r>
              <w:rPr>
                <w:rFonts w:ascii="Times New Roman"/>
              </w:rPr>
              <w:t>3</w:t>
            </w:r>
          </w:p>
        </w:tc>
        <w:tc>
          <w:tcPr>
            <w:tcW w:w="2161" w:type="dxa"/>
            <w:gridSpan w:val="3"/>
            <w:vAlign w:val="center"/>
          </w:tcPr>
          <w:p>
            <w:pPr>
              <w:adjustRightInd w:val="0"/>
              <w:snapToGrid w:val="0"/>
              <w:jc w:val="center"/>
            </w:pPr>
            <w:r>
              <w:rPr>
                <w:color w:val="000000"/>
                <w:kern w:val="0"/>
                <w:sz w:val="20"/>
              </w:rPr>
              <w:t>塑料制品标志</w:t>
            </w:r>
          </w:p>
        </w:tc>
        <w:tc>
          <w:tcPr>
            <w:tcW w:w="1215" w:type="dxa"/>
            <w:vAlign w:val="center"/>
          </w:tcPr>
          <w:p>
            <w:pPr>
              <w:adjustRightInd w:val="0"/>
              <w:snapToGrid w:val="0"/>
              <w:jc w:val="center"/>
              <w:rPr>
                <w:sz w:val="18"/>
                <w:szCs w:val="18"/>
              </w:rPr>
            </w:pPr>
            <w:r>
              <w:rPr>
                <w:color w:val="000000"/>
                <w:kern w:val="0"/>
                <w:sz w:val="20"/>
              </w:rPr>
              <w:t>----</w:t>
            </w:r>
          </w:p>
        </w:tc>
        <w:tc>
          <w:tcPr>
            <w:tcW w:w="2294" w:type="dxa"/>
            <w:vAlign w:val="center"/>
          </w:tcPr>
          <w:p>
            <w:pPr>
              <w:adjustRightInd w:val="0"/>
              <w:snapToGrid w:val="0"/>
              <w:jc w:val="center"/>
            </w:pPr>
            <w:r>
              <w:rPr>
                <w:color w:val="000000"/>
                <w:kern w:val="0"/>
                <w:sz w:val="20"/>
              </w:rPr>
              <w:t>可回收再生利用</w:t>
            </w:r>
          </w:p>
        </w:tc>
        <w:tc>
          <w:tcPr>
            <w:tcW w:w="2177" w:type="dxa"/>
            <w:vAlign w:val="center"/>
          </w:tcPr>
          <w:p>
            <w:pPr>
              <w:pStyle w:val="11"/>
              <w:widowControl w:val="0"/>
              <w:ind w:firstLine="0" w:firstLineChars="0"/>
              <w:jc w:val="center"/>
              <w:rPr>
                <w:rFonts w:hint="default" w:ascii="Times New Roman" w:eastAsia="宋体"/>
                <w:color w:val="auto"/>
                <w:lang w:val="en-US" w:eastAsia="zh-CN"/>
              </w:rPr>
            </w:pPr>
            <w:r>
              <w:rPr>
                <w:rFonts w:hint="eastAsia" w:ascii="Times New Roman"/>
                <w:color w:val="auto"/>
                <w:lang w:val="en-US" w:eastAsia="zh-CN"/>
              </w:rPr>
              <w:t>29/29=100%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675" w:type="dxa"/>
            <w:vAlign w:val="center"/>
          </w:tcPr>
          <w:p>
            <w:pPr>
              <w:pStyle w:val="11"/>
              <w:widowControl w:val="0"/>
              <w:ind w:firstLine="0" w:firstLineChars="0"/>
              <w:jc w:val="center"/>
              <w:rPr>
                <w:rFonts w:ascii="Times New Roman"/>
              </w:rPr>
            </w:pPr>
            <w:r>
              <w:rPr>
                <w:rFonts w:ascii="Times New Roman"/>
              </w:rPr>
              <w:t>4</w:t>
            </w:r>
          </w:p>
        </w:tc>
        <w:tc>
          <w:tcPr>
            <w:tcW w:w="2161" w:type="dxa"/>
            <w:gridSpan w:val="3"/>
            <w:vAlign w:val="center"/>
          </w:tcPr>
          <w:p>
            <w:pPr>
              <w:adjustRightInd w:val="0"/>
              <w:snapToGrid w:val="0"/>
              <w:jc w:val="center"/>
              <w:rPr>
                <w:kern w:val="0"/>
                <w:sz w:val="18"/>
                <w:szCs w:val="18"/>
              </w:rPr>
            </w:pPr>
            <w:r>
              <w:rPr>
                <w:color w:val="000000"/>
                <w:kern w:val="0"/>
                <w:sz w:val="20"/>
              </w:rPr>
              <w:t>单位产品综合能耗</w:t>
            </w:r>
          </w:p>
        </w:tc>
        <w:tc>
          <w:tcPr>
            <w:tcW w:w="1215" w:type="dxa"/>
            <w:vAlign w:val="center"/>
          </w:tcPr>
          <w:p>
            <w:pPr>
              <w:adjustRightInd w:val="0"/>
              <w:snapToGrid w:val="0"/>
              <w:jc w:val="center"/>
              <w:rPr>
                <w:kern w:val="0"/>
                <w:sz w:val="18"/>
                <w:szCs w:val="18"/>
              </w:rPr>
            </w:pPr>
            <w:r>
              <w:rPr>
                <w:color w:val="000000"/>
                <w:kern w:val="0"/>
                <w:sz w:val="20"/>
              </w:rPr>
              <w:t>tce/t</w:t>
            </w:r>
          </w:p>
        </w:tc>
        <w:tc>
          <w:tcPr>
            <w:tcW w:w="2294" w:type="dxa"/>
            <w:vAlign w:val="center"/>
          </w:tcPr>
          <w:p>
            <w:pPr>
              <w:adjustRightInd w:val="0"/>
              <w:snapToGrid w:val="0"/>
              <w:jc w:val="center"/>
              <w:rPr>
                <w:b/>
                <w:kern w:val="0"/>
                <w:sz w:val="18"/>
                <w:szCs w:val="18"/>
              </w:rPr>
            </w:pPr>
            <w:r>
              <w:rPr>
                <w:color w:val="000000"/>
                <w:kern w:val="0"/>
                <w:sz w:val="20"/>
              </w:rPr>
              <w:t>≤0.047</w:t>
            </w:r>
          </w:p>
        </w:tc>
        <w:tc>
          <w:tcPr>
            <w:tcW w:w="2177" w:type="dxa"/>
            <w:vAlign w:val="center"/>
          </w:tcPr>
          <w:p>
            <w:pPr>
              <w:pStyle w:val="11"/>
              <w:widowControl w:val="0"/>
              <w:ind w:firstLine="0" w:firstLineChars="0"/>
              <w:jc w:val="center"/>
              <w:rPr>
                <w:rFonts w:hint="default" w:ascii="Times New Roman" w:eastAsia="宋体"/>
                <w:color w:val="auto"/>
                <w:lang w:val="en-US" w:eastAsia="zh-CN"/>
              </w:rPr>
            </w:pPr>
            <w:r>
              <w:rPr>
                <w:rFonts w:hint="eastAsia" w:ascii="Times New Roman"/>
                <w:color w:val="auto"/>
                <w:lang w:val="en-US" w:eastAsia="zh-CN"/>
              </w:rPr>
              <w:t>17/29=58.6%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675" w:type="dxa"/>
            <w:vAlign w:val="center"/>
          </w:tcPr>
          <w:p>
            <w:pPr>
              <w:pStyle w:val="11"/>
              <w:widowControl w:val="0"/>
              <w:ind w:firstLine="0" w:firstLineChars="0"/>
              <w:jc w:val="center"/>
              <w:rPr>
                <w:rFonts w:ascii="Times New Roman"/>
              </w:rPr>
            </w:pPr>
            <w:r>
              <w:rPr>
                <w:rFonts w:ascii="Times New Roman"/>
              </w:rPr>
              <w:t>5</w:t>
            </w:r>
          </w:p>
        </w:tc>
        <w:tc>
          <w:tcPr>
            <w:tcW w:w="2161" w:type="dxa"/>
            <w:gridSpan w:val="3"/>
            <w:vAlign w:val="center"/>
          </w:tcPr>
          <w:p>
            <w:pPr>
              <w:adjustRightInd w:val="0"/>
              <w:snapToGrid w:val="0"/>
              <w:jc w:val="center"/>
              <w:rPr>
                <w:kern w:val="0"/>
                <w:sz w:val="18"/>
                <w:szCs w:val="18"/>
              </w:rPr>
            </w:pPr>
            <w:r>
              <w:rPr>
                <w:color w:val="000000"/>
                <w:kern w:val="0"/>
                <w:sz w:val="20"/>
              </w:rPr>
              <w:t>单位产品耗水量</w:t>
            </w:r>
          </w:p>
        </w:tc>
        <w:tc>
          <w:tcPr>
            <w:tcW w:w="1215" w:type="dxa"/>
            <w:vAlign w:val="center"/>
          </w:tcPr>
          <w:p>
            <w:pPr>
              <w:adjustRightInd w:val="0"/>
              <w:snapToGrid w:val="0"/>
              <w:jc w:val="center"/>
              <w:rPr>
                <w:kern w:val="0"/>
                <w:sz w:val="18"/>
                <w:szCs w:val="18"/>
              </w:rPr>
            </w:pPr>
            <w:r>
              <w:rPr>
                <w:color w:val="000000"/>
                <w:kern w:val="0"/>
                <w:sz w:val="20"/>
              </w:rPr>
              <w:t>kg/kg</w:t>
            </w:r>
          </w:p>
        </w:tc>
        <w:tc>
          <w:tcPr>
            <w:tcW w:w="2294" w:type="dxa"/>
            <w:vAlign w:val="center"/>
          </w:tcPr>
          <w:p>
            <w:pPr>
              <w:adjustRightInd w:val="0"/>
              <w:snapToGrid w:val="0"/>
              <w:jc w:val="center"/>
              <w:rPr>
                <w:kern w:val="0"/>
                <w:sz w:val="18"/>
                <w:szCs w:val="18"/>
              </w:rPr>
            </w:pPr>
            <w:r>
              <w:rPr>
                <w:color w:val="000000"/>
                <w:kern w:val="0"/>
                <w:sz w:val="20"/>
              </w:rPr>
              <w:t>≤0.9</w:t>
            </w:r>
          </w:p>
        </w:tc>
        <w:tc>
          <w:tcPr>
            <w:tcW w:w="2177" w:type="dxa"/>
            <w:vAlign w:val="center"/>
          </w:tcPr>
          <w:p>
            <w:pPr>
              <w:pStyle w:val="11"/>
              <w:widowControl w:val="0"/>
              <w:ind w:firstLine="0" w:firstLineChars="0"/>
              <w:jc w:val="center"/>
              <w:rPr>
                <w:rFonts w:hint="default" w:ascii="Times New Roman" w:eastAsia="宋体"/>
                <w:color w:val="auto"/>
                <w:lang w:val="en-US" w:eastAsia="zh-CN"/>
              </w:rPr>
            </w:pPr>
            <w:r>
              <w:rPr>
                <w:rFonts w:hint="eastAsia" w:ascii="Times New Roman"/>
                <w:color w:val="auto"/>
                <w:lang w:val="en-US" w:eastAsia="zh-CN"/>
              </w:rPr>
              <w:t>24/29=82.8%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675" w:type="dxa"/>
            <w:vMerge w:val="restart"/>
            <w:vAlign w:val="center"/>
          </w:tcPr>
          <w:p>
            <w:pPr>
              <w:pStyle w:val="11"/>
              <w:widowControl w:val="0"/>
              <w:ind w:firstLine="0" w:firstLineChars="0"/>
              <w:jc w:val="center"/>
              <w:rPr>
                <w:rFonts w:ascii="Times New Roman"/>
              </w:rPr>
            </w:pPr>
            <w:r>
              <w:rPr>
                <w:rFonts w:ascii="Times New Roman"/>
              </w:rPr>
              <w:t>6</w:t>
            </w:r>
          </w:p>
        </w:tc>
        <w:tc>
          <w:tcPr>
            <w:tcW w:w="669" w:type="dxa"/>
            <w:vMerge w:val="restart"/>
            <w:vAlign w:val="center"/>
          </w:tcPr>
          <w:p>
            <w:pPr>
              <w:adjustRightInd w:val="0"/>
              <w:snapToGrid w:val="0"/>
              <w:jc w:val="center"/>
              <w:rPr>
                <w:kern w:val="0"/>
                <w:sz w:val="18"/>
                <w:szCs w:val="18"/>
              </w:rPr>
            </w:pPr>
            <w:r>
              <w:rPr>
                <w:kern w:val="0"/>
                <w:sz w:val="20"/>
              </w:rPr>
              <w:t>传热系数K</w:t>
            </w:r>
            <w:r>
              <w:rPr>
                <w:kern w:val="0"/>
                <w:sz w:val="20"/>
                <w:vertAlign w:val="subscript"/>
              </w:rPr>
              <w:t>f</w:t>
            </w:r>
          </w:p>
        </w:tc>
        <w:tc>
          <w:tcPr>
            <w:tcW w:w="1492" w:type="dxa"/>
            <w:gridSpan w:val="2"/>
            <w:vAlign w:val="center"/>
          </w:tcPr>
          <w:p>
            <w:pPr>
              <w:adjustRightInd w:val="0"/>
              <w:snapToGrid w:val="0"/>
              <w:jc w:val="center"/>
            </w:pPr>
            <w:r>
              <w:rPr>
                <w:kern w:val="0"/>
                <w:sz w:val="20"/>
              </w:rPr>
              <w:t>平开</w:t>
            </w:r>
          </w:p>
        </w:tc>
        <w:tc>
          <w:tcPr>
            <w:tcW w:w="1215" w:type="dxa"/>
            <w:vMerge w:val="restart"/>
            <w:vAlign w:val="center"/>
          </w:tcPr>
          <w:p>
            <w:pPr>
              <w:adjustRightInd w:val="0"/>
              <w:snapToGrid w:val="0"/>
              <w:jc w:val="center"/>
              <w:rPr>
                <w:kern w:val="0"/>
                <w:sz w:val="18"/>
                <w:szCs w:val="18"/>
              </w:rPr>
            </w:pPr>
            <w:r>
              <w:rPr>
                <w:sz w:val="20"/>
              </w:rPr>
              <w:t>W/ (m</w:t>
            </w:r>
            <w:r>
              <w:rPr>
                <w:sz w:val="20"/>
                <w:vertAlign w:val="superscript"/>
              </w:rPr>
              <w:t>2</w:t>
            </w:r>
            <w:r>
              <w:rPr>
                <w:sz w:val="20"/>
              </w:rPr>
              <w:t>·K)</w:t>
            </w:r>
          </w:p>
        </w:tc>
        <w:tc>
          <w:tcPr>
            <w:tcW w:w="2294" w:type="dxa"/>
            <w:vAlign w:val="center"/>
          </w:tcPr>
          <w:p>
            <w:pPr>
              <w:adjustRightInd w:val="0"/>
              <w:snapToGrid w:val="0"/>
              <w:jc w:val="center"/>
              <w:rPr>
                <w:kern w:val="0"/>
                <w:sz w:val="18"/>
                <w:szCs w:val="18"/>
              </w:rPr>
            </w:pPr>
            <w:r>
              <w:rPr>
                <w:kern w:val="0"/>
                <w:sz w:val="20"/>
              </w:rPr>
              <w:t>≤</w:t>
            </w:r>
            <w:r>
              <w:rPr>
                <w:sz w:val="20"/>
              </w:rPr>
              <w:t>1.5</w:t>
            </w:r>
          </w:p>
        </w:tc>
        <w:tc>
          <w:tcPr>
            <w:tcW w:w="2177" w:type="dxa"/>
            <w:vAlign w:val="center"/>
          </w:tcPr>
          <w:p>
            <w:pPr>
              <w:pStyle w:val="11"/>
              <w:widowControl w:val="0"/>
              <w:ind w:firstLine="0" w:firstLineChars="0"/>
              <w:jc w:val="center"/>
              <w:rPr>
                <w:rFonts w:hint="default" w:ascii="Times New Roman" w:eastAsia="宋体"/>
                <w:color w:val="auto"/>
                <w:lang w:val="en-US" w:eastAsia="zh-CN"/>
              </w:rPr>
            </w:pPr>
            <w:r>
              <w:rPr>
                <w:rFonts w:hint="eastAsia" w:ascii="Times New Roman"/>
                <w:color w:val="auto"/>
                <w:lang w:val="en-US" w:eastAsia="zh-CN"/>
              </w:rPr>
              <w:t>11/11=100%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675" w:type="dxa"/>
            <w:vMerge w:val="continue"/>
            <w:vAlign w:val="center"/>
          </w:tcPr>
          <w:p>
            <w:pPr>
              <w:pStyle w:val="11"/>
              <w:widowControl w:val="0"/>
              <w:ind w:firstLine="0" w:firstLineChars="0"/>
              <w:jc w:val="center"/>
              <w:rPr>
                <w:rFonts w:ascii="Times New Roman"/>
              </w:rPr>
            </w:pPr>
          </w:p>
        </w:tc>
        <w:tc>
          <w:tcPr>
            <w:tcW w:w="669" w:type="dxa"/>
            <w:vMerge w:val="continue"/>
            <w:vAlign w:val="center"/>
          </w:tcPr>
          <w:p>
            <w:pPr>
              <w:adjustRightInd w:val="0"/>
              <w:snapToGrid w:val="0"/>
              <w:jc w:val="center"/>
              <w:rPr>
                <w:kern w:val="0"/>
                <w:sz w:val="18"/>
                <w:szCs w:val="18"/>
              </w:rPr>
            </w:pPr>
          </w:p>
        </w:tc>
        <w:tc>
          <w:tcPr>
            <w:tcW w:w="1492" w:type="dxa"/>
            <w:gridSpan w:val="2"/>
            <w:vAlign w:val="center"/>
          </w:tcPr>
          <w:p>
            <w:pPr>
              <w:adjustRightInd w:val="0"/>
              <w:snapToGrid w:val="0"/>
              <w:jc w:val="center"/>
            </w:pPr>
            <w:r>
              <w:rPr>
                <w:kern w:val="0"/>
                <w:sz w:val="20"/>
              </w:rPr>
              <w:t>推拉</w:t>
            </w:r>
          </w:p>
        </w:tc>
        <w:tc>
          <w:tcPr>
            <w:tcW w:w="1215" w:type="dxa"/>
            <w:vMerge w:val="continue"/>
            <w:vAlign w:val="center"/>
          </w:tcPr>
          <w:p>
            <w:pPr>
              <w:adjustRightInd w:val="0"/>
              <w:snapToGrid w:val="0"/>
              <w:jc w:val="center"/>
              <w:rPr>
                <w:kern w:val="0"/>
                <w:sz w:val="18"/>
                <w:szCs w:val="18"/>
              </w:rPr>
            </w:pPr>
          </w:p>
        </w:tc>
        <w:tc>
          <w:tcPr>
            <w:tcW w:w="2294" w:type="dxa"/>
            <w:vAlign w:val="center"/>
          </w:tcPr>
          <w:p>
            <w:pPr>
              <w:adjustRightInd w:val="0"/>
              <w:snapToGrid w:val="0"/>
              <w:jc w:val="center"/>
              <w:rPr>
                <w:kern w:val="0"/>
                <w:sz w:val="18"/>
                <w:szCs w:val="18"/>
              </w:rPr>
            </w:pPr>
            <w:r>
              <w:rPr>
                <w:kern w:val="0"/>
                <w:sz w:val="20"/>
              </w:rPr>
              <w:t>≤</w:t>
            </w:r>
            <w:r>
              <w:rPr>
                <w:rFonts w:hint="eastAsia"/>
                <w:sz w:val="20"/>
              </w:rPr>
              <w:t>2.2</w:t>
            </w:r>
          </w:p>
        </w:tc>
        <w:tc>
          <w:tcPr>
            <w:tcW w:w="2177" w:type="dxa"/>
            <w:vAlign w:val="center"/>
          </w:tcPr>
          <w:p>
            <w:pPr>
              <w:pStyle w:val="11"/>
              <w:widowControl w:val="0"/>
              <w:ind w:firstLine="0" w:firstLineChars="0"/>
              <w:jc w:val="center"/>
              <w:rPr>
                <w:rFonts w:hint="default" w:ascii="Times New Roman" w:eastAsia="宋体"/>
                <w:color w:val="auto"/>
                <w:lang w:val="en-US" w:eastAsia="zh-CN"/>
              </w:rPr>
            </w:pPr>
            <w:r>
              <w:rPr>
                <w:rFonts w:hint="eastAsia" w:ascii="Times New Roman"/>
                <w:color w:val="auto"/>
                <w:lang w:val="en-US" w:eastAsia="zh-CN"/>
              </w:rPr>
              <w:t>18/18=100%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restart"/>
            <w:vAlign w:val="center"/>
          </w:tcPr>
          <w:p>
            <w:pPr>
              <w:pStyle w:val="11"/>
              <w:widowControl w:val="0"/>
              <w:ind w:firstLine="0" w:firstLineChars="0"/>
              <w:jc w:val="center"/>
              <w:rPr>
                <w:rFonts w:ascii="Times New Roman"/>
              </w:rPr>
            </w:pPr>
            <w:r>
              <w:rPr>
                <w:rFonts w:hint="eastAsia" w:ascii="Times New Roman"/>
              </w:rPr>
              <w:t>7</w:t>
            </w:r>
          </w:p>
        </w:tc>
        <w:tc>
          <w:tcPr>
            <w:tcW w:w="669" w:type="dxa"/>
            <w:vMerge w:val="restart"/>
            <w:vAlign w:val="center"/>
          </w:tcPr>
          <w:p>
            <w:pPr>
              <w:adjustRightInd w:val="0"/>
              <w:snapToGrid w:val="0"/>
              <w:jc w:val="center"/>
              <w:rPr>
                <w:kern w:val="0"/>
                <w:sz w:val="18"/>
                <w:szCs w:val="18"/>
              </w:rPr>
            </w:pPr>
            <w:r>
              <w:rPr>
                <w:kern w:val="0"/>
                <w:sz w:val="20"/>
              </w:rPr>
              <w:t>有害物质限量</w:t>
            </w:r>
          </w:p>
        </w:tc>
        <w:tc>
          <w:tcPr>
            <w:tcW w:w="1492" w:type="dxa"/>
            <w:gridSpan w:val="2"/>
            <w:vAlign w:val="center"/>
          </w:tcPr>
          <w:p>
            <w:pPr>
              <w:adjustRightInd w:val="0"/>
              <w:snapToGrid w:val="0"/>
              <w:jc w:val="center"/>
            </w:pPr>
            <w:r>
              <w:rPr>
                <w:kern w:val="0"/>
                <w:sz w:val="20"/>
              </w:rPr>
              <w:t>铅（Pb）</w:t>
            </w:r>
          </w:p>
        </w:tc>
        <w:tc>
          <w:tcPr>
            <w:tcW w:w="1215" w:type="dxa"/>
            <w:vMerge w:val="restart"/>
            <w:vAlign w:val="center"/>
          </w:tcPr>
          <w:p>
            <w:pPr>
              <w:adjustRightInd w:val="0"/>
              <w:snapToGrid w:val="0"/>
              <w:jc w:val="center"/>
              <w:rPr>
                <w:kern w:val="0"/>
                <w:sz w:val="18"/>
                <w:szCs w:val="18"/>
              </w:rPr>
            </w:pPr>
            <w:r>
              <w:rPr>
                <w:kern w:val="0"/>
                <w:sz w:val="20"/>
              </w:rPr>
              <w:t>mg/kg</w:t>
            </w:r>
          </w:p>
        </w:tc>
        <w:tc>
          <w:tcPr>
            <w:tcW w:w="2294" w:type="dxa"/>
            <w:vAlign w:val="center"/>
          </w:tcPr>
          <w:p>
            <w:pPr>
              <w:adjustRightInd w:val="0"/>
              <w:snapToGrid w:val="0"/>
              <w:jc w:val="center"/>
              <w:rPr>
                <w:kern w:val="0"/>
                <w:sz w:val="18"/>
                <w:szCs w:val="18"/>
              </w:rPr>
            </w:pPr>
            <w:r>
              <w:rPr>
                <w:kern w:val="0"/>
                <w:sz w:val="20"/>
              </w:rPr>
              <w:t>≤100</w:t>
            </w:r>
          </w:p>
        </w:tc>
        <w:tc>
          <w:tcPr>
            <w:tcW w:w="2177" w:type="dxa"/>
            <w:vAlign w:val="center"/>
          </w:tcPr>
          <w:p>
            <w:pPr>
              <w:pStyle w:val="11"/>
              <w:widowControl w:val="0"/>
              <w:ind w:firstLine="0" w:firstLineChars="0"/>
              <w:jc w:val="center"/>
              <w:rPr>
                <w:rFonts w:hint="default" w:ascii="Times New Roman" w:eastAsia="宋体"/>
                <w:color w:val="auto"/>
                <w:lang w:val="en-US" w:eastAsia="zh-CN"/>
              </w:rPr>
            </w:pPr>
            <w:r>
              <w:rPr>
                <w:rFonts w:hint="eastAsia" w:ascii="Times New Roman"/>
                <w:color w:val="auto"/>
                <w:lang w:val="en-US" w:eastAsia="zh-CN"/>
              </w:rPr>
              <w:t>29/29=100%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vAlign w:val="center"/>
          </w:tcPr>
          <w:p>
            <w:pPr>
              <w:pStyle w:val="11"/>
              <w:widowControl w:val="0"/>
              <w:ind w:firstLine="0" w:firstLineChars="0"/>
              <w:jc w:val="center"/>
              <w:rPr>
                <w:rFonts w:ascii="Times New Roman"/>
              </w:rPr>
            </w:pPr>
          </w:p>
        </w:tc>
        <w:tc>
          <w:tcPr>
            <w:tcW w:w="669" w:type="dxa"/>
            <w:vMerge w:val="continue"/>
            <w:vAlign w:val="center"/>
          </w:tcPr>
          <w:p>
            <w:pPr>
              <w:adjustRightInd w:val="0"/>
              <w:snapToGrid w:val="0"/>
              <w:jc w:val="center"/>
              <w:rPr>
                <w:kern w:val="0"/>
                <w:sz w:val="18"/>
                <w:szCs w:val="18"/>
              </w:rPr>
            </w:pPr>
          </w:p>
        </w:tc>
        <w:tc>
          <w:tcPr>
            <w:tcW w:w="1492" w:type="dxa"/>
            <w:gridSpan w:val="2"/>
            <w:vAlign w:val="center"/>
          </w:tcPr>
          <w:p>
            <w:pPr>
              <w:adjustRightInd w:val="0"/>
              <w:snapToGrid w:val="0"/>
              <w:jc w:val="center"/>
            </w:pPr>
            <w:r>
              <w:rPr>
                <w:kern w:val="0"/>
                <w:sz w:val="20"/>
              </w:rPr>
              <w:t>镉（Cd）</w:t>
            </w:r>
          </w:p>
        </w:tc>
        <w:tc>
          <w:tcPr>
            <w:tcW w:w="1215" w:type="dxa"/>
            <w:vMerge w:val="continue"/>
            <w:vAlign w:val="center"/>
          </w:tcPr>
          <w:p>
            <w:pPr>
              <w:adjustRightInd w:val="0"/>
              <w:snapToGrid w:val="0"/>
              <w:jc w:val="center"/>
              <w:rPr>
                <w:kern w:val="0"/>
                <w:sz w:val="18"/>
                <w:szCs w:val="18"/>
              </w:rPr>
            </w:pPr>
          </w:p>
        </w:tc>
        <w:tc>
          <w:tcPr>
            <w:tcW w:w="2294" w:type="dxa"/>
            <w:vAlign w:val="center"/>
          </w:tcPr>
          <w:p>
            <w:pPr>
              <w:adjustRightInd w:val="0"/>
              <w:snapToGrid w:val="0"/>
              <w:jc w:val="center"/>
              <w:rPr>
                <w:kern w:val="0"/>
                <w:sz w:val="18"/>
                <w:szCs w:val="18"/>
              </w:rPr>
            </w:pPr>
            <w:r>
              <w:rPr>
                <w:kern w:val="0"/>
                <w:sz w:val="20"/>
              </w:rPr>
              <w:t>≤50</w:t>
            </w:r>
          </w:p>
        </w:tc>
        <w:tc>
          <w:tcPr>
            <w:tcW w:w="2177" w:type="dxa"/>
            <w:vAlign w:val="center"/>
          </w:tcPr>
          <w:p>
            <w:pPr>
              <w:pStyle w:val="11"/>
              <w:widowControl w:val="0"/>
              <w:ind w:firstLine="0" w:firstLineChars="0"/>
              <w:jc w:val="center"/>
              <w:rPr>
                <w:rFonts w:hint="default" w:ascii="Times New Roman" w:eastAsia="宋体"/>
                <w:color w:val="auto"/>
                <w:lang w:val="en-US" w:eastAsia="zh-CN"/>
              </w:rPr>
            </w:pPr>
            <w:r>
              <w:rPr>
                <w:rFonts w:hint="eastAsia" w:ascii="Times New Roman"/>
                <w:color w:val="auto"/>
                <w:lang w:val="en-US" w:eastAsia="zh-CN"/>
              </w:rPr>
              <w:t>29/29=100%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vAlign w:val="center"/>
          </w:tcPr>
          <w:p>
            <w:pPr>
              <w:pStyle w:val="11"/>
              <w:widowControl w:val="0"/>
              <w:ind w:firstLine="0" w:firstLineChars="0"/>
              <w:jc w:val="center"/>
              <w:rPr>
                <w:rFonts w:ascii="Times New Roman"/>
              </w:rPr>
            </w:pPr>
          </w:p>
        </w:tc>
        <w:tc>
          <w:tcPr>
            <w:tcW w:w="669" w:type="dxa"/>
            <w:vMerge w:val="continue"/>
            <w:vAlign w:val="center"/>
          </w:tcPr>
          <w:p>
            <w:pPr>
              <w:adjustRightInd w:val="0"/>
              <w:snapToGrid w:val="0"/>
              <w:jc w:val="center"/>
              <w:rPr>
                <w:kern w:val="0"/>
                <w:sz w:val="18"/>
                <w:szCs w:val="18"/>
              </w:rPr>
            </w:pPr>
          </w:p>
        </w:tc>
        <w:tc>
          <w:tcPr>
            <w:tcW w:w="1492" w:type="dxa"/>
            <w:gridSpan w:val="2"/>
            <w:vAlign w:val="center"/>
          </w:tcPr>
          <w:p>
            <w:pPr>
              <w:adjustRightInd w:val="0"/>
              <w:snapToGrid w:val="0"/>
              <w:jc w:val="center"/>
            </w:pPr>
            <w:r>
              <w:rPr>
                <w:kern w:val="0"/>
                <w:sz w:val="20"/>
              </w:rPr>
              <w:t>六价铬（Cr）</w:t>
            </w:r>
          </w:p>
        </w:tc>
        <w:tc>
          <w:tcPr>
            <w:tcW w:w="1215" w:type="dxa"/>
            <w:vMerge w:val="continue"/>
            <w:vAlign w:val="center"/>
          </w:tcPr>
          <w:p>
            <w:pPr>
              <w:adjustRightInd w:val="0"/>
              <w:snapToGrid w:val="0"/>
              <w:jc w:val="center"/>
              <w:rPr>
                <w:kern w:val="0"/>
                <w:sz w:val="18"/>
                <w:szCs w:val="18"/>
              </w:rPr>
            </w:pPr>
          </w:p>
        </w:tc>
        <w:tc>
          <w:tcPr>
            <w:tcW w:w="2294" w:type="dxa"/>
            <w:vAlign w:val="center"/>
          </w:tcPr>
          <w:p>
            <w:pPr>
              <w:adjustRightInd w:val="0"/>
              <w:snapToGrid w:val="0"/>
              <w:jc w:val="center"/>
              <w:rPr>
                <w:kern w:val="0"/>
                <w:sz w:val="18"/>
                <w:szCs w:val="18"/>
              </w:rPr>
            </w:pPr>
            <w:r>
              <w:rPr>
                <w:kern w:val="0"/>
                <w:sz w:val="20"/>
              </w:rPr>
              <w:t>≤50</w:t>
            </w:r>
            <w:r>
              <w:rPr>
                <w:rFonts w:hint="eastAsia"/>
                <w:kern w:val="0"/>
                <w:sz w:val="20"/>
              </w:rPr>
              <w:t>0</w:t>
            </w:r>
          </w:p>
        </w:tc>
        <w:tc>
          <w:tcPr>
            <w:tcW w:w="2177" w:type="dxa"/>
            <w:vAlign w:val="center"/>
          </w:tcPr>
          <w:p>
            <w:pPr>
              <w:pStyle w:val="11"/>
              <w:widowControl w:val="0"/>
              <w:ind w:firstLine="0" w:firstLineChars="0"/>
              <w:jc w:val="center"/>
              <w:rPr>
                <w:rFonts w:hint="default" w:ascii="Times New Roman" w:eastAsia="宋体"/>
                <w:color w:val="auto"/>
                <w:lang w:val="en-US" w:eastAsia="zh-CN"/>
              </w:rPr>
            </w:pPr>
            <w:r>
              <w:rPr>
                <w:rFonts w:hint="eastAsia" w:ascii="Times New Roman"/>
                <w:color w:val="auto"/>
                <w:lang w:val="en-US" w:eastAsia="zh-CN"/>
              </w:rPr>
              <w:t>29/29=100%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vAlign w:val="center"/>
          </w:tcPr>
          <w:p>
            <w:pPr>
              <w:pStyle w:val="11"/>
              <w:widowControl w:val="0"/>
              <w:ind w:firstLine="0" w:firstLineChars="0"/>
              <w:jc w:val="center"/>
              <w:rPr>
                <w:rFonts w:ascii="Times New Roman"/>
              </w:rPr>
            </w:pPr>
          </w:p>
        </w:tc>
        <w:tc>
          <w:tcPr>
            <w:tcW w:w="669" w:type="dxa"/>
            <w:vMerge w:val="continue"/>
            <w:vAlign w:val="center"/>
          </w:tcPr>
          <w:p>
            <w:pPr>
              <w:adjustRightInd w:val="0"/>
              <w:snapToGrid w:val="0"/>
              <w:jc w:val="center"/>
              <w:rPr>
                <w:kern w:val="0"/>
                <w:sz w:val="18"/>
                <w:szCs w:val="18"/>
              </w:rPr>
            </w:pPr>
          </w:p>
        </w:tc>
        <w:tc>
          <w:tcPr>
            <w:tcW w:w="1492" w:type="dxa"/>
            <w:gridSpan w:val="2"/>
            <w:vAlign w:val="center"/>
          </w:tcPr>
          <w:p>
            <w:pPr>
              <w:adjustRightInd w:val="0"/>
              <w:snapToGrid w:val="0"/>
              <w:jc w:val="center"/>
            </w:pPr>
            <w:r>
              <w:rPr>
                <w:kern w:val="0"/>
                <w:sz w:val="20"/>
              </w:rPr>
              <w:t>汞（Hg）</w:t>
            </w:r>
          </w:p>
        </w:tc>
        <w:tc>
          <w:tcPr>
            <w:tcW w:w="1215" w:type="dxa"/>
            <w:vMerge w:val="continue"/>
            <w:vAlign w:val="center"/>
          </w:tcPr>
          <w:p>
            <w:pPr>
              <w:adjustRightInd w:val="0"/>
              <w:snapToGrid w:val="0"/>
              <w:jc w:val="center"/>
              <w:rPr>
                <w:kern w:val="0"/>
                <w:sz w:val="18"/>
                <w:szCs w:val="18"/>
              </w:rPr>
            </w:pPr>
          </w:p>
        </w:tc>
        <w:tc>
          <w:tcPr>
            <w:tcW w:w="2294" w:type="dxa"/>
            <w:vAlign w:val="center"/>
          </w:tcPr>
          <w:p>
            <w:pPr>
              <w:adjustRightInd w:val="0"/>
              <w:snapToGrid w:val="0"/>
              <w:jc w:val="center"/>
              <w:rPr>
                <w:kern w:val="0"/>
                <w:sz w:val="18"/>
                <w:szCs w:val="18"/>
              </w:rPr>
            </w:pPr>
            <w:r>
              <w:rPr>
                <w:kern w:val="0"/>
                <w:sz w:val="20"/>
              </w:rPr>
              <w:t>不得检出</w:t>
            </w:r>
          </w:p>
        </w:tc>
        <w:tc>
          <w:tcPr>
            <w:tcW w:w="2177" w:type="dxa"/>
            <w:vAlign w:val="center"/>
          </w:tcPr>
          <w:p>
            <w:pPr>
              <w:pStyle w:val="11"/>
              <w:widowControl w:val="0"/>
              <w:ind w:firstLine="0" w:firstLineChars="0"/>
              <w:jc w:val="center"/>
              <w:rPr>
                <w:rFonts w:ascii="Times New Roman"/>
                <w:color w:val="auto"/>
              </w:rPr>
            </w:pPr>
            <w:r>
              <w:rPr>
                <w:rFonts w:hint="eastAsia" w:ascii="Times New Roman"/>
                <w:color w:val="auto"/>
                <w:lang w:val="en-US" w:eastAsia="zh-CN"/>
              </w:rPr>
              <w:t>24/29=82.8%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vAlign w:val="center"/>
          </w:tcPr>
          <w:p>
            <w:pPr>
              <w:pStyle w:val="11"/>
              <w:widowControl w:val="0"/>
              <w:ind w:firstLine="0" w:firstLineChars="0"/>
              <w:jc w:val="center"/>
              <w:rPr>
                <w:rFonts w:ascii="Times New Roman"/>
              </w:rPr>
            </w:pPr>
          </w:p>
        </w:tc>
        <w:tc>
          <w:tcPr>
            <w:tcW w:w="669" w:type="dxa"/>
            <w:vMerge w:val="continue"/>
            <w:vAlign w:val="center"/>
          </w:tcPr>
          <w:p>
            <w:pPr>
              <w:adjustRightInd w:val="0"/>
              <w:snapToGrid w:val="0"/>
              <w:jc w:val="center"/>
              <w:rPr>
                <w:kern w:val="0"/>
                <w:sz w:val="18"/>
                <w:szCs w:val="18"/>
              </w:rPr>
            </w:pPr>
          </w:p>
        </w:tc>
        <w:tc>
          <w:tcPr>
            <w:tcW w:w="1492" w:type="dxa"/>
            <w:gridSpan w:val="2"/>
            <w:vAlign w:val="center"/>
          </w:tcPr>
          <w:p>
            <w:pPr>
              <w:widowControl/>
              <w:snapToGrid w:val="0"/>
              <w:jc w:val="center"/>
            </w:pPr>
            <w:r>
              <w:rPr>
                <w:kern w:val="0"/>
                <w:sz w:val="18"/>
                <w:szCs w:val="18"/>
              </w:rPr>
              <w:t>增塑剂</w:t>
            </w:r>
          </w:p>
        </w:tc>
        <w:tc>
          <w:tcPr>
            <w:tcW w:w="1215" w:type="dxa"/>
            <w:vMerge w:val="continue"/>
            <w:vAlign w:val="center"/>
          </w:tcPr>
          <w:p>
            <w:pPr>
              <w:adjustRightInd w:val="0"/>
              <w:snapToGrid w:val="0"/>
              <w:jc w:val="center"/>
              <w:rPr>
                <w:kern w:val="0"/>
                <w:sz w:val="18"/>
                <w:szCs w:val="18"/>
              </w:rPr>
            </w:pPr>
          </w:p>
        </w:tc>
        <w:tc>
          <w:tcPr>
            <w:tcW w:w="2294" w:type="dxa"/>
            <w:vAlign w:val="center"/>
          </w:tcPr>
          <w:p>
            <w:pPr>
              <w:adjustRightInd w:val="0"/>
              <w:snapToGrid w:val="0"/>
              <w:jc w:val="center"/>
              <w:rPr>
                <w:kern w:val="0"/>
                <w:sz w:val="18"/>
                <w:szCs w:val="18"/>
              </w:rPr>
            </w:pPr>
            <w:r>
              <w:rPr>
                <w:kern w:val="0"/>
                <w:sz w:val="20"/>
              </w:rPr>
              <w:t>不得检出</w:t>
            </w:r>
          </w:p>
        </w:tc>
        <w:tc>
          <w:tcPr>
            <w:tcW w:w="2177" w:type="dxa"/>
            <w:vAlign w:val="center"/>
          </w:tcPr>
          <w:p>
            <w:pPr>
              <w:pStyle w:val="11"/>
              <w:widowControl w:val="0"/>
              <w:ind w:firstLine="0" w:firstLineChars="0"/>
              <w:jc w:val="center"/>
              <w:rPr>
                <w:rFonts w:ascii="Times New Roman"/>
                <w:color w:val="auto"/>
              </w:rPr>
            </w:pPr>
            <w:r>
              <w:rPr>
                <w:rFonts w:hint="eastAsia" w:ascii="Times New Roman"/>
                <w:color w:val="auto"/>
                <w:lang w:val="en-US" w:eastAsia="zh-CN"/>
              </w:rPr>
              <w:t>29/29=100%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pStyle w:val="11"/>
              <w:widowControl w:val="0"/>
              <w:ind w:firstLine="0" w:firstLineChars="0"/>
              <w:jc w:val="center"/>
              <w:rPr>
                <w:rFonts w:ascii="Times New Roman"/>
              </w:rPr>
            </w:pPr>
            <w:r>
              <w:rPr>
                <w:rFonts w:hint="eastAsia" w:ascii="Times New Roman"/>
              </w:rPr>
              <w:t>8</w:t>
            </w:r>
          </w:p>
        </w:tc>
        <w:tc>
          <w:tcPr>
            <w:tcW w:w="2161" w:type="dxa"/>
            <w:gridSpan w:val="3"/>
            <w:vAlign w:val="center"/>
          </w:tcPr>
          <w:p>
            <w:pPr>
              <w:adjustRightInd w:val="0"/>
              <w:snapToGrid w:val="0"/>
              <w:jc w:val="center"/>
              <w:rPr>
                <w:kern w:val="0"/>
                <w:sz w:val="18"/>
                <w:szCs w:val="18"/>
              </w:rPr>
            </w:pPr>
            <w:r>
              <w:rPr>
                <w:kern w:val="0"/>
                <w:sz w:val="20"/>
              </w:rPr>
              <w:t>型材灰分</w:t>
            </w:r>
          </w:p>
        </w:tc>
        <w:tc>
          <w:tcPr>
            <w:tcW w:w="1215" w:type="dxa"/>
            <w:vAlign w:val="center"/>
          </w:tcPr>
          <w:p>
            <w:pPr>
              <w:adjustRightInd w:val="0"/>
              <w:snapToGrid w:val="0"/>
              <w:jc w:val="center"/>
              <w:rPr>
                <w:kern w:val="0"/>
                <w:sz w:val="18"/>
                <w:szCs w:val="18"/>
              </w:rPr>
            </w:pPr>
            <w:r>
              <w:rPr>
                <w:kern w:val="0"/>
                <w:sz w:val="20"/>
              </w:rPr>
              <w:t>%</w:t>
            </w:r>
          </w:p>
        </w:tc>
        <w:tc>
          <w:tcPr>
            <w:tcW w:w="2294" w:type="dxa"/>
            <w:vAlign w:val="center"/>
          </w:tcPr>
          <w:p>
            <w:pPr>
              <w:adjustRightInd w:val="0"/>
              <w:snapToGrid w:val="0"/>
              <w:jc w:val="center"/>
              <w:rPr>
                <w:kern w:val="0"/>
                <w:sz w:val="18"/>
                <w:szCs w:val="18"/>
              </w:rPr>
            </w:pPr>
            <w:r>
              <w:rPr>
                <w:kern w:val="0"/>
                <w:sz w:val="20"/>
              </w:rPr>
              <w:t>≤12</w:t>
            </w:r>
          </w:p>
        </w:tc>
        <w:tc>
          <w:tcPr>
            <w:tcW w:w="2177" w:type="dxa"/>
            <w:vAlign w:val="center"/>
          </w:tcPr>
          <w:p>
            <w:pPr>
              <w:pStyle w:val="11"/>
              <w:widowControl w:val="0"/>
              <w:ind w:firstLine="0" w:firstLineChars="0"/>
              <w:jc w:val="center"/>
              <w:rPr>
                <w:rFonts w:hint="default" w:ascii="Times New Roman" w:eastAsia="宋体"/>
                <w:color w:val="auto"/>
                <w:lang w:val="en-US" w:eastAsia="zh-CN"/>
              </w:rPr>
            </w:pPr>
            <w:r>
              <w:rPr>
                <w:rFonts w:hint="eastAsia" w:ascii="Times New Roman"/>
                <w:color w:val="auto"/>
                <w:lang w:val="en-US" w:eastAsia="zh-CN"/>
              </w:rPr>
              <w:t>23/29=79.3%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675" w:type="dxa"/>
            <w:vAlign w:val="center"/>
          </w:tcPr>
          <w:p>
            <w:pPr>
              <w:pStyle w:val="11"/>
              <w:widowControl w:val="0"/>
              <w:ind w:firstLine="0" w:firstLineChars="0"/>
              <w:jc w:val="center"/>
              <w:rPr>
                <w:rFonts w:ascii="Times New Roman"/>
              </w:rPr>
            </w:pPr>
            <w:r>
              <w:rPr>
                <w:rFonts w:hint="eastAsia" w:ascii="Times New Roman"/>
              </w:rPr>
              <w:t>9</w:t>
            </w:r>
          </w:p>
        </w:tc>
        <w:tc>
          <w:tcPr>
            <w:tcW w:w="2161" w:type="dxa"/>
            <w:gridSpan w:val="3"/>
            <w:vAlign w:val="center"/>
          </w:tcPr>
          <w:p>
            <w:pPr>
              <w:adjustRightInd w:val="0"/>
              <w:snapToGrid w:val="0"/>
              <w:jc w:val="center"/>
              <w:rPr>
                <w:kern w:val="0"/>
                <w:sz w:val="18"/>
                <w:szCs w:val="18"/>
              </w:rPr>
            </w:pPr>
            <w:r>
              <w:rPr>
                <w:rFonts w:hint="eastAsia"/>
                <w:kern w:val="0"/>
                <w:sz w:val="20"/>
              </w:rPr>
              <w:t>氧指数</w:t>
            </w:r>
          </w:p>
        </w:tc>
        <w:tc>
          <w:tcPr>
            <w:tcW w:w="1215" w:type="dxa"/>
            <w:vAlign w:val="center"/>
          </w:tcPr>
          <w:p>
            <w:pPr>
              <w:adjustRightInd w:val="0"/>
              <w:snapToGrid w:val="0"/>
              <w:jc w:val="center"/>
              <w:rPr>
                <w:kern w:val="0"/>
                <w:sz w:val="18"/>
                <w:szCs w:val="18"/>
              </w:rPr>
            </w:pPr>
          </w:p>
        </w:tc>
        <w:tc>
          <w:tcPr>
            <w:tcW w:w="2294" w:type="dxa"/>
            <w:vAlign w:val="center"/>
          </w:tcPr>
          <w:p>
            <w:pPr>
              <w:adjustRightInd w:val="0"/>
              <w:snapToGrid w:val="0"/>
              <w:jc w:val="center"/>
              <w:rPr>
                <w:kern w:val="0"/>
                <w:sz w:val="18"/>
                <w:szCs w:val="18"/>
              </w:rPr>
            </w:pPr>
            <w:r>
              <w:rPr>
                <w:kern w:val="0"/>
                <w:sz w:val="20"/>
              </w:rPr>
              <w:t>≥</w:t>
            </w:r>
            <w:r>
              <w:rPr>
                <w:rFonts w:hint="eastAsia"/>
                <w:kern w:val="0"/>
                <w:sz w:val="20"/>
              </w:rPr>
              <w:t>38</w:t>
            </w:r>
          </w:p>
        </w:tc>
        <w:tc>
          <w:tcPr>
            <w:tcW w:w="2177" w:type="dxa"/>
            <w:vAlign w:val="center"/>
          </w:tcPr>
          <w:p>
            <w:pPr>
              <w:pStyle w:val="11"/>
              <w:widowControl w:val="0"/>
              <w:ind w:firstLine="0" w:firstLineChars="0"/>
              <w:jc w:val="center"/>
              <w:rPr>
                <w:rFonts w:hint="default" w:ascii="Times New Roman" w:eastAsia="宋体"/>
                <w:color w:val="auto"/>
                <w:lang w:val="en-US" w:eastAsia="zh-CN"/>
              </w:rPr>
            </w:pPr>
            <w:r>
              <w:rPr>
                <w:rFonts w:hint="eastAsia" w:ascii="Times New Roman"/>
                <w:color w:val="auto"/>
                <w:lang w:val="en-US" w:eastAsia="zh-CN"/>
              </w:rPr>
              <w:t>27/29=93.1%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pStyle w:val="11"/>
              <w:widowControl w:val="0"/>
              <w:ind w:firstLine="0" w:firstLineChars="0"/>
              <w:jc w:val="center"/>
              <w:rPr>
                <w:rFonts w:ascii="Times New Roman"/>
              </w:rPr>
            </w:pPr>
            <w:r>
              <w:rPr>
                <w:rFonts w:ascii="Times New Roman"/>
              </w:rPr>
              <w:t>1</w:t>
            </w:r>
            <w:r>
              <w:rPr>
                <w:rFonts w:hint="eastAsia" w:ascii="Times New Roman"/>
              </w:rPr>
              <w:t>0</w:t>
            </w:r>
          </w:p>
        </w:tc>
        <w:tc>
          <w:tcPr>
            <w:tcW w:w="669" w:type="dxa"/>
            <w:vMerge w:val="restart"/>
            <w:vAlign w:val="center"/>
          </w:tcPr>
          <w:p>
            <w:pPr>
              <w:adjustRightInd w:val="0"/>
              <w:snapToGrid w:val="0"/>
              <w:jc w:val="center"/>
              <w:rPr>
                <w:kern w:val="0"/>
                <w:sz w:val="18"/>
                <w:szCs w:val="18"/>
              </w:rPr>
            </w:pPr>
            <w:r>
              <w:rPr>
                <w:kern w:val="0"/>
                <w:sz w:val="20"/>
              </w:rPr>
              <w:t>老化时间</w:t>
            </w:r>
          </w:p>
        </w:tc>
        <w:tc>
          <w:tcPr>
            <w:tcW w:w="1492" w:type="dxa"/>
            <w:gridSpan w:val="2"/>
            <w:vAlign w:val="center"/>
          </w:tcPr>
          <w:p>
            <w:pPr>
              <w:adjustRightInd w:val="0"/>
              <w:snapToGrid w:val="0"/>
              <w:jc w:val="center"/>
            </w:pPr>
            <w:r>
              <w:rPr>
                <w:kern w:val="0"/>
                <w:sz w:val="20"/>
              </w:rPr>
              <w:t>室内用</w:t>
            </w:r>
          </w:p>
        </w:tc>
        <w:tc>
          <w:tcPr>
            <w:tcW w:w="1215" w:type="dxa"/>
            <w:vMerge w:val="restart"/>
            <w:vAlign w:val="center"/>
          </w:tcPr>
          <w:p>
            <w:pPr>
              <w:adjustRightInd w:val="0"/>
              <w:snapToGrid w:val="0"/>
              <w:jc w:val="center"/>
              <w:rPr>
                <w:kern w:val="0"/>
                <w:sz w:val="18"/>
                <w:szCs w:val="18"/>
              </w:rPr>
            </w:pPr>
            <w:r>
              <w:rPr>
                <w:rFonts w:hint="eastAsia"/>
                <w:kern w:val="0"/>
                <w:sz w:val="20"/>
              </w:rPr>
              <w:t>h</w:t>
            </w:r>
          </w:p>
        </w:tc>
        <w:tc>
          <w:tcPr>
            <w:tcW w:w="2294" w:type="dxa"/>
            <w:vAlign w:val="center"/>
          </w:tcPr>
          <w:p>
            <w:pPr>
              <w:adjustRightInd w:val="0"/>
              <w:snapToGrid w:val="0"/>
              <w:jc w:val="center"/>
              <w:rPr>
                <w:kern w:val="0"/>
                <w:sz w:val="18"/>
                <w:szCs w:val="18"/>
              </w:rPr>
            </w:pPr>
            <w:r>
              <w:rPr>
                <w:kern w:val="0"/>
                <w:sz w:val="20"/>
              </w:rPr>
              <w:t>6000</w:t>
            </w:r>
          </w:p>
        </w:tc>
        <w:tc>
          <w:tcPr>
            <w:tcW w:w="2177" w:type="dxa"/>
            <w:vAlign w:val="center"/>
          </w:tcPr>
          <w:p>
            <w:pPr>
              <w:pStyle w:val="11"/>
              <w:widowControl w:val="0"/>
              <w:ind w:firstLine="0" w:firstLineChars="0"/>
              <w:jc w:val="center"/>
              <w:rPr>
                <w:rFonts w:hint="default" w:ascii="Times New Roman" w:eastAsia="宋体"/>
                <w:color w:val="auto"/>
                <w:lang w:val="en-US" w:eastAsia="zh-CN"/>
              </w:rPr>
            </w:pPr>
            <w:r>
              <w:rPr>
                <w:rFonts w:hint="eastAsia" w:ascii="Times New Roman"/>
                <w:color w:val="auto"/>
                <w:lang w:val="en-US" w:eastAsia="zh-CN"/>
              </w:rPr>
              <w:t>29/29=100%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pStyle w:val="11"/>
              <w:widowControl w:val="0"/>
              <w:ind w:firstLine="0" w:firstLineChars="0"/>
              <w:jc w:val="center"/>
              <w:rPr>
                <w:rFonts w:ascii="Times New Roman"/>
              </w:rPr>
            </w:pPr>
            <w:r>
              <w:rPr>
                <w:rFonts w:ascii="Times New Roman"/>
              </w:rPr>
              <w:t>1</w:t>
            </w:r>
            <w:r>
              <w:rPr>
                <w:rFonts w:hint="eastAsia" w:ascii="Times New Roman"/>
              </w:rPr>
              <w:t>1</w:t>
            </w:r>
          </w:p>
        </w:tc>
        <w:tc>
          <w:tcPr>
            <w:tcW w:w="669" w:type="dxa"/>
            <w:vMerge w:val="continue"/>
            <w:vAlign w:val="center"/>
          </w:tcPr>
          <w:p>
            <w:pPr>
              <w:adjustRightInd w:val="0"/>
              <w:snapToGrid w:val="0"/>
              <w:jc w:val="center"/>
              <w:rPr>
                <w:kern w:val="0"/>
                <w:sz w:val="18"/>
                <w:szCs w:val="18"/>
              </w:rPr>
            </w:pPr>
          </w:p>
        </w:tc>
        <w:tc>
          <w:tcPr>
            <w:tcW w:w="1492" w:type="dxa"/>
            <w:gridSpan w:val="2"/>
            <w:vAlign w:val="center"/>
          </w:tcPr>
          <w:p>
            <w:pPr>
              <w:adjustRightInd w:val="0"/>
              <w:snapToGrid w:val="0"/>
              <w:jc w:val="center"/>
            </w:pPr>
            <w:r>
              <w:rPr>
                <w:kern w:val="0"/>
                <w:sz w:val="20"/>
              </w:rPr>
              <w:t>室外用</w:t>
            </w:r>
          </w:p>
        </w:tc>
        <w:tc>
          <w:tcPr>
            <w:tcW w:w="1215" w:type="dxa"/>
            <w:vMerge w:val="continue"/>
            <w:vAlign w:val="center"/>
          </w:tcPr>
          <w:p>
            <w:pPr>
              <w:adjustRightInd w:val="0"/>
              <w:snapToGrid w:val="0"/>
              <w:jc w:val="center"/>
              <w:rPr>
                <w:kern w:val="0"/>
                <w:sz w:val="18"/>
                <w:szCs w:val="18"/>
              </w:rPr>
            </w:pPr>
          </w:p>
        </w:tc>
        <w:tc>
          <w:tcPr>
            <w:tcW w:w="2294" w:type="dxa"/>
            <w:vAlign w:val="center"/>
          </w:tcPr>
          <w:p>
            <w:pPr>
              <w:adjustRightInd w:val="0"/>
              <w:snapToGrid w:val="0"/>
              <w:jc w:val="center"/>
              <w:rPr>
                <w:kern w:val="0"/>
                <w:sz w:val="18"/>
                <w:szCs w:val="18"/>
              </w:rPr>
            </w:pPr>
            <w:r>
              <w:rPr>
                <w:kern w:val="0"/>
                <w:sz w:val="20"/>
              </w:rPr>
              <w:t>8000</w:t>
            </w:r>
          </w:p>
        </w:tc>
        <w:tc>
          <w:tcPr>
            <w:tcW w:w="2177" w:type="dxa"/>
            <w:vAlign w:val="center"/>
          </w:tcPr>
          <w:p>
            <w:pPr>
              <w:pStyle w:val="11"/>
              <w:widowControl w:val="0"/>
              <w:ind w:firstLine="0" w:firstLineChars="0"/>
              <w:jc w:val="center"/>
              <w:rPr>
                <w:rFonts w:hint="default" w:ascii="Times New Roman" w:eastAsia="宋体"/>
                <w:color w:val="auto"/>
                <w:lang w:val="en-US" w:eastAsia="zh-CN"/>
              </w:rPr>
            </w:pPr>
            <w:bookmarkStart w:id="7" w:name="OLE_LINK1"/>
            <w:r>
              <w:rPr>
                <w:rFonts w:hint="eastAsia" w:ascii="Times New Roman"/>
                <w:color w:val="auto"/>
                <w:lang w:val="en-US" w:eastAsia="zh-CN"/>
              </w:rPr>
              <w:t>29/29=100%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pStyle w:val="11"/>
              <w:widowControl w:val="0"/>
              <w:ind w:firstLine="0" w:firstLineChars="0"/>
              <w:jc w:val="center"/>
              <w:rPr>
                <w:rFonts w:ascii="Times New Roman"/>
              </w:rPr>
            </w:pPr>
            <w:r>
              <w:rPr>
                <w:rFonts w:ascii="Times New Roman"/>
              </w:rPr>
              <w:t>1</w:t>
            </w:r>
            <w:r>
              <w:rPr>
                <w:rFonts w:hint="eastAsia" w:ascii="Times New Roman"/>
              </w:rPr>
              <w:t>2</w:t>
            </w:r>
          </w:p>
        </w:tc>
        <w:tc>
          <w:tcPr>
            <w:tcW w:w="669" w:type="dxa"/>
            <w:vMerge w:val="restart"/>
            <w:vAlign w:val="center"/>
          </w:tcPr>
          <w:p>
            <w:pPr>
              <w:adjustRightInd w:val="0"/>
              <w:snapToGrid w:val="0"/>
              <w:jc w:val="center"/>
              <w:rPr>
                <w:kern w:val="0"/>
                <w:sz w:val="18"/>
                <w:szCs w:val="18"/>
              </w:rPr>
            </w:pPr>
            <w:r>
              <w:rPr>
                <w:kern w:val="0"/>
                <w:sz w:val="20"/>
              </w:rPr>
              <w:t>产品厚度</w:t>
            </w:r>
          </w:p>
        </w:tc>
        <w:tc>
          <w:tcPr>
            <w:tcW w:w="1492" w:type="dxa"/>
            <w:gridSpan w:val="2"/>
            <w:vAlign w:val="center"/>
          </w:tcPr>
          <w:p>
            <w:pPr>
              <w:adjustRightInd w:val="0"/>
              <w:snapToGrid w:val="0"/>
              <w:jc w:val="center"/>
            </w:pPr>
            <w:r>
              <w:rPr>
                <w:kern w:val="0"/>
                <w:sz w:val="20"/>
              </w:rPr>
              <w:t>平开</w:t>
            </w:r>
          </w:p>
        </w:tc>
        <w:tc>
          <w:tcPr>
            <w:tcW w:w="1215" w:type="dxa"/>
            <w:vMerge w:val="restart"/>
            <w:vAlign w:val="center"/>
          </w:tcPr>
          <w:p>
            <w:pPr>
              <w:adjustRightInd w:val="0"/>
              <w:snapToGrid w:val="0"/>
              <w:jc w:val="center"/>
              <w:rPr>
                <w:kern w:val="0"/>
                <w:sz w:val="18"/>
                <w:szCs w:val="18"/>
              </w:rPr>
            </w:pPr>
            <w:r>
              <w:rPr>
                <w:kern w:val="0"/>
                <w:sz w:val="20"/>
              </w:rPr>
              <w:t>mm</w:t>
            </w:r>
          </w:p>
        </w:tc>
        <w:tc>
          <w:tcPr>
            <w:tcW w:w="2294" w:type="dxa"/>
            <w:vAlign w:val="center"/>
          </w:tcPr>
          <w:p>
            <w:pPr>
              <w:adjustRightInd w:val="0"/>
              <w:snapToGrid w:val="0"/>
              <w:jc w:val="center"/>
              <w:rPr>
                <w:kern w:val="0"/>
                <w:sz w:val="18"/>
                <w:szCs w:val="18"/>
              </w:rPr>
            </w:pPr>
            <w:r>
              <w:rPr>
                <w:kern w:val="0"/>
                <w:sz w:val="20"/>
              </w:rPr>
              <w:t>≥65</w:t>
            </w:r>
          </w:p>
        </w:tc>
        <w:tc>
          <w:tcPr>
            <w:tcW w:w="2177" w:type="dxa"/>
            <w:vAlign w:val="center"/>
          </w:tcPr>
          <w:p>
            <w:pPr>
              <w:pStyle w:val="11"/>
              <w:widowControl w:val="0"/>
              <w:ind w:firstLine="0" w:firstLineChars="0"/>
              <w:jc w:val="center"/>
              <w:rPr>
                <w:rFonts w:ascii="Times New Roman"/>
                <w:color w:val="auto"/>
              </w:rPr>
            </w:pPr>
            <w:r>
              <w:rPr>
                <w:rFonts w:hint="eastAsia" w:ascii="Times New Roman"/>
                <w:color w:val="auto"/>
                <w:lang w:val="en-US" w:eastAsia="zh-CN"/>
              </w:rPr>
              <w:t>9/11=81.8%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675" w:type="dxa"/>
            <w:vAlign w:val="center"/>
          </w:tcPr>
          <w:p>
            <w:pPr>
              <w:pStyle w:val="11"/>
              <w:widowControl w:val="0"/>
              <w:ind w:firstLine="0" w:firstLineChars="0"/>
              <w:jc w:val="center"/>
              <w:rPr>
                <w:rFonts w:ascii="Times New Roman"/>
              </w:rPr>
            </w:pPr>
            <w:r>
              <w:rPr>
                <w:rFonts w:hint="eastAsia" w:ascii="Times New Roman"/>
              </w:rPr>
              <w:t>13</w:t>
            </w:r>
          </w:p>
        </w:tc>
        <w:tc>
          <w:tcPr>
            <w:tcW w:w="669" w:type="dxa"/>
            <w:vMerge w:val="continue"/>
            <w:vAlign w:val="center"/>
          </w:tcPr>
          <w:p>
            <w:pPr>
              <w:adjustRightInd w:val="0"/>
              <w:snapToGrid w:val="0"/>
              <w:jc w:val="center"/>
            </w:pPr>
          </w:p>
        </w:tc>
        <w:tc>
          <w:tcPr>
            <w:tcW w:w="697" w:type="dxa"/>
            <w:vMerge w:val="restart"/>
            <w:vAlign w:val="center"/>
          </w:tcPr>
          <w:p>
            <w:pPr>
              <w:adjustRightInd w:val="0"/>
              <w:snapToGrid w:val="0"/>
              <w:jc w:val="center"/>
            </w:pPr>
            <w:r>
              <w:rPr>
                <w:kern w:val="0"/>
                <w:sz w:val="20"/>
              </w:rPr>
              <w:t>推拉</w:t>
            </w:r>
          </w:p>
        </w:tc>
        <w:tc>
          <w:tcPr>
            <w:tcW w:w="795" w:type="dxa"/>
            <w:vAlign w:val="center"/>
          </w:tcPr>
          <w:p>
            <w:pPr>
              <w:adjustRightInd w:val="0"/>
              <w:snapToGrid w:val="0"/>
              <w:jc w:val="center"/>
            </w:pPr>
            <w:r>
              <w:rPr>
                <w:rFonts w:hint="eastAsia"/>
                <w:kern w:val="0"/>
                <w:sz w:val="20"/>
              </w:rPr>
              <w:t>框</w:t>
            </w:r>
          </w:p>
        </w:tc>
        <w:tc>
          <w:tcPr>
            <w:tcW w:w="1215" w:type="dxa"/>
            <w:vMerge w:val="continue"/>
            <w:vAlign w:val="center"/>
          </w:tcPr>
          <w:p>
            <w:pPr>
              <w:adjustRightInd w:val="0"/>
              <w:snapToGrid w:val="0"/>
              <w:jc w:val="center"/>
            </w:pPr>
          </w:p>
        </w:tc>
        <w:tc>
          <w:tcPr>
            <w:tcW w:w="2294" w:type="dxa"/>
            <w:vAlign w:val="center"/>
          </w:tcPr>
          <w:p>
            <w:pPr>
              <w:adjustRightInd w:val="0"/>
              <w:snapToGrid w:val="0"/>
              <w:jc w:val="center"/>
            </w:pPr>
            <w:r>
              <w:rPr>
                <w:kern w:val="0"/>
                <w:sz w:val="20"/>
              </w:rPr>
              <w:t>≥</w:t>
            </w:r>
            <w:r>
              <w:rPr>
                <w:rFonts w:hint="eastAsia"/>
                <w:kern w:val="0"/>
                <w:sz w:val="20"/>
              </w:rPr>
              <w:t>105</w:t>
            </w:r>
          </w:p>
        </w:tc>
        <w:tc>
          <w:tcPr>
            <w:tcW w:w="2177" w:type="dxa"/>
            <w:vAlign w:val="center"/>
          </w:tcPr>
          <w:p>
            <w:pPr>
              <w:pStyle w:val="11"/>
              <w:widowControl w:val="0"/>
              <w:ind w:firstLine="0" w:firstLineChars="0"/>
              <w:jc w:val="center"/>
              <w:rPr>
                <w:rFonts w:ascii="Times New Roman"/>
                <w:color w:val="auto"/>
              </w:rPr>
            </w:pPr>
            <w:r>
              <w:rPr>
                <w:rFonts w:hint="eastAsia" w:ascii="Times New Roman"/>
                <w:color w:val="auto"/>
                <w:lang w:val="en-US" w:eastAsia="zh-CN"/>
              </w:rPr>
              <w:t>6/6=100%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pStyle w:val="11"/>
              <w:widowControl w:val="0"/>
              <w:ind w:firstLine="0" w:firstLineChars="0"/>
              <w:jc w:val="center"/>
              <w:rPr>
                <w:rFonts w:ascii="Times New Roman"/>
              </w:rPr>
            </w:pPr>
            <w:r>
              <w:rPr>
                <w:rFonts w:hint="eastAsia" w:ascii="Times New Roman"/>
              </w:rPr>
              <w:t>14</w:t>
            </w:r>
          </w:p>
        </w:tc>
        <w:tc>
          <w:tcPr>
            <w:tcW w:w="669" w:type="dxa"/>
            <w:vMerge w:val="continue"/>
            <w:vAlign w:val="center"/>
          </w:tcPr>
          <w:p>
            <w:pPr>
              <w:adjustRightInd w:val="0"/>
              <w:snapToGrid w:val="0"/>
              <w:jc w:val="center"/>
            </w:pPr>
          </w:p>
        </w:tc>
        <w:tc>
          <w:tcPr>
            <w:tcW w:w="697" w:type="dxa"/>
            <w:vMerge w:val="continue"/>
            <w:vAlign w:val="center"/>
          </w:tcPr>
          <w:p>
            <w:pPr>
              <w:adjustRightInd w:val="0"/>
              <w:snapToGrid w:val="0"/>
              <w:jc w:val="center"/>
            </w:pPr>
          </w:p>
        </w:tc>
        <w:tc>
          <w:tcPr>
            <w:tcW w:w="795" w:type="dxa"/>
            <w:vAlign w:val="center"/>
          </w:tcPr>
          <w:p>
            <w:pPr>
              <w:adjustRightInd w:val="0"/>
              <w:snapToGrid w:val="0"/>
              <w:jc w:val="center"/>
            </w:pPr>
            <w:r>
              <w:rPr>
                <w:rFonts w:hint="eastAsia"/>
                <w:kern w:val="0"/>
                <w:sz w:val="20"/>
              </w:rPr>
              <w:t>扇</w:t>
            </w:r>
          </w:p>
        </w:tc>
        <w:tc>
          <w:tcPr>
            <w:tcW w:w="1215" w:type="dxa"/>
            <w:vMerge w:val="continue"/>
            <w:vAlign w:val="center"/>
          </w:tcPr>
          <w:p>
            <w:pPr>
              <w:adjustRightInd w:val="0"/>
              <w:snapToGrid w:val="0"/>
              <w:jc w:val="center"/>
              <w:rPr>
                <w:color w:val="000000" w:themeColor="text1"/>
                <w:sz w:val="18"/>
                <w:szCs w:val="18"/>
              </w:rPr>
            </w:pPr>
          </w:p>
        </w:tc>
        <w:tc>
          <w:tcPr>
            <w:tcW w:w="2294" w:type="dxa"/>
            <w:vAlign w:val="center"/>
          </w:tcPr>
          <w:p>
            <w:pPr>
              <w:adjustRightInd w:val="0"/>
              <w:snapToGrid w:val="0"/>
              <w:jc w:val="center"/>
              <w:rPr>
                <w:kern w:val="0"/>
                <w:sz w:val="18"/>
                <w:szCs w:val="18"/>
              </w:rPr>
            </w:pPr>
            <w:r>
              <w:rPr>
                <w:kern w:val="0"/>
                <w:sz w:val="20"/>
              </w:rPr>
              <w:t>≥</w:t>
            </w:r>
            <w:r>
              <w:rPr>
                <w:rFonts w:hint="eastAsia"/>
                <w:kern w:val="0"/>
                <w:sz w:val="20"/>
              </w:rPr>
              <w:t>50</w:t>
            </w:r>
          </w:p>
        </w:tc>
        <w:tc>
          <w:tcPr>
            <w:tcW w:w="2177" w:type="dxa"/>
            <w:vAlign w:val="center"/>
          </w:tcPr>
          <w:p>
            <w:pPr>
              <w:pStyle w:val="11"/>
              <w:widowControl w:val="0"/>
              <w:ind w:firstLine="0" w:firstLineChars="0"/>
              <w:jc w:val="center"/>
              <w:rPr>
                <w:rFonts w:hint="eastAsia" w:ascii="Times New Roman" w:eastAsia="宋体"/>
                <w:color w:val="auto"/>
                <w:lang w:val="en-US" w:eastAsia="zh-CN"/>
              </w:rPr>
            </w:pPr>
            <w:r>
              <w:rPr>
                <w:rFonts w:hint="eastAsia" w:ascii="Times New Roman"/>
                <w:color w:val="auto"/>
                <w:lang w:val="en-US" w:eastAsia="zh-CN"/>
              </w:rPr>
              <w:t>8/12=66.7%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675" w:type="dxa"/>
            <w:vAlign w:val="center"/>
          </w:tcPr>
          <w:p>
            <w:pPr>
              <w:pStyle w:val="11"/>
              <w:widowControl w:val="0"/>
              <w:ind w:firstLine="0" w:firstLineChars="0"/>
              <w:jc w:val="center"/>
              <w:rPr>
                <w:rFonts w:ascii="Times New Roman"/>
              </w:rPr>
            </w:pPr>
            <w:r>
              <w:rPr>
                <w:rFonts w:hint="eastAsia" w:ascii="Times New Roman"/>
              </w:rPr>
              <w:t>15</w:t>
            </w:r>
          </w:p>
        </w:tc>
        <w:tc>
          <w:tcPr>
            <w:tcW w:w="669" w:type="dxa"/>
            <w:vMerge w:val="restart"/>
            <w:vAlign w:val="center"/>
          </w:tcPr>
          <w:p>
            <w:pPr>
              <w:adjustRightInd w:val="0"/>
              <w:snapToGrid w:val="0"/>
              <w:jc w:val="center"/>
              <w:rPr>
                <w:kern w:val="0"/>
                <w:sz w:val="18"/>
                <w:szCs w:val="18"/>
              </w:rPr>
            </w:pPr>
            <w:r>
              <w:rPr>
                <w:kern w:val="0"/>
                <w:sz w:val="20"/>
              </w:rPr>
              <w:t>腔体结构数量</w:t>
            </w:r>
          </w:p>
        </w:tc>
        <w:tc>
          <w:tcPr>
            <w:tcW w:w="1492" w:type="dxa"/>
            <w:gridSpan w:val="2"/>
            <w:vAlign w:val="center"/>
          </w:tcPr>
          <w:p>
            <w:pPr>
              <w:adjustRightInd w:val="0"/>
              <w:snapToGrid w:val="0"/>
              <w:jc w:val="center"/>
            </w:pPr>
            <w:r>
              <w:rPr>
                <w:kern w:val="0"/>
                <w:sz w:val="20"/>
              </w:rPr>
              <w:t>平开</w:t>
            </w:r>
          </w:p>
        </w:tc>
        <w:tc>
          <w:tcPr>
            <w:tcW w:w="1215" w:type="dxa"/>
            <w:vMerge w:val="restart"/>
            <w:vAlign w:val="center"/>
          </w:tcPr>
          <w:p>
            <w:pPr>
              <w:adjustRightInd w:val="0"/>
              <w:snapToGrid w:val="0"/>
              <w:jc w:val="center"/>
              <w:rPr>
                <w:kern w:val="0"/>
                <w:sz w:val="18"/>
                <w:szCs w:val="18"/>
              </w:rPr>
            </w:pPr>
            <w:r>
              <w:rPr>
                <w:kern w:val="0"/>
                <w:sz w:val="20"/>
              </w:rPr>
              <w:t>个</w:t>
            </w:r>
          </w:p>
        </w:tc>
        <w:tc>
          <w:tcPr>
            <w:tcW w:w="2294" w:type="dxa"/>
            <w:vAlign w:val="center"/>
          </w:tcPr>
          <w:p>
            <w:pPr>
              <w:adjustRightInd w:val="0"/>
              <w:snapToGrid w:val="0"/>
              <w:jc w:val="center"/>
            </w:pPr>
            <w:r>
              <w:rPr>
                <w:kern w:val="0"/>
                <w:sz w:val="20"/>
              </w:rPr>
              <w:t>≥5</w:t>
            </w:r>
          </w:p>
        </w:tc>
        <w:tc>
          <w:tcPr>
            <w:tcW w:w="2177" w:type="dxa"/>
            <w:vAlign w:val="center"/>
          </w:tcPr>
          <w:p>
            <w:pPr>
              <w:pStyle w:val="11"/>
              <w:widowControl w:val="0"/>
              <w:ind w:firstLine="0" w:firstLineChars="0"/>
              <w:jc w:val="center"/>
              <w:rPr>
                <w:rFonts w:hint="default" w:ascii="Times New Roman" w:eastAsia="宋体"/>
                <w:color w:val="auto"/>
                <w:lang w:val="en-US" w:eastAsia="zh-CN"/>
              </w:rPr>
            </w:pPr>
            <w:r>
              <w:rPr>
                <w:rFonts w:hint="eastAsia" w:ascii="Times New Roman"/>
                <w:color w:val="auto"/>
                <w:lang w:val="en-US" w:eastAsia="zh-CN"/>
              </w:rPr>
              <w:t>8/11=72.7%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675" w:type="dxa"/>
            <w:vAlign w:val="center"/>
          </w:tcPr>
          <w:p>
            <w:pPr>
              <w:pStyle w:val="11"/>
              <w:widowControl w:val="0"/>
              <w:ind w:firstLine="0" w:firstLineChars="0"/>
              <w:jc w:val="center"/>
              <w:rPr>
                <w:rFonts w:ascii="Times New Roman"/>
              </w:rPr>
            </w:pPr>
            <w:r>
              <w:rPr>
                <w:rFonts w:hint="eastAsia" w:ascii="Times New Roman"/>
              </w:rPr>
              <w:t>16</w:t>
            </w:r>
          </w:p>
        </w:tc>
        <w:tc>
          <w:tcPr>
            <w:tcW w:w="669" w:type="dxa"/>
            <w:vMerge w:val="continue"/>
            <w:vAlign w:val="center"/>
          </w:tcPr>
          <w:p>
            <w:pPr>
              <w:adjustRightInd w:val="0"/>
              <w:snapToGrid w:val="0"/>
              <w:jc w:val="center"/>
              <w:rPr>
                <w:kern w:val="0"/>
                <w:sz w:val="18"/>
                <w:szCs w:val="18"/>
              </w:rPr>
            </w:pPr>
          </w:p>
        </w:tc>
        <w:tc>
          <w:tcPr>
            <w:tcW w:w="697" w:type="dxa"/>
            <w:vMerge w:val="restart"/>
            <w:vAlign w:val="center"/>
          </w:tcPr>
          <w:p>
            <w:pPr>
              <w:adjustRightInd w:val="0"/>
              <w:snapToGrid w:val="0"/>
              <w:jc w:val="center"/>
            </w:pPr>
            <w:r>
              <w:rPr>
                <w:kern w:val="0"/>
                <w:sz w:val="20"/>
              </w:rPr>
              <w:t>推拉</w:t>
            </w:r>
          </w:p>
        </w:tc>
        <w:tc>
          <w:tcPr>
            <w:tcW w:w="795" w:type="dxa"/>
            <w:vAlign w:val="center"/>
          </w:tcPr>
          <w:p>
            <w:pPr>
              <w:adjustRightInd w:val="0"/>
              <w:snapToGrid w:val="0"/>
              <w:jc w:val="center"/>
            </w:pPr>
            <w:r>
              <w:rPr>
                <w:rFonts w:hint="eastAsia"/>
                <w:kern w:val="0"/>
                <w:sz w:val="20"/>
              </w:rPr>
              <w:t>框</w:t>
            </w:r>
          </w:p>
        </w:tc>
        <w:tc>
          <w:tcPr>
            <w:tcW w:w="1215" w:type="dxa"/>
            <w:vMerge w:val="continue"/>
            <w:vAlign w:val="center"/>
          </w:tcPr>
          <w:p>
            <w:pPr>
              <w:adjustRightInd w:val="0"/>
              <w:snapToGrid w:val="0"/>
              <w:jc w:val="center"/>
              <w:rPr>
                <w:kern w:val="0"/>
                <w:sz w:val="18"/>
                <w:szCs w:val="18"/>
              </w:rPr>
            </w:pPr>
          </w:p>
        </w:tc>
        <w:tc>
          <w:tcPr>
            <w:tcW w:w="2294" w:type="dxa"/>
            <w:vAlign w:val="center"/>
          </w:tcPr>
          <w:p>
            <w:pPr>
              <w:adjustRightInd w:val="0"/>
              <w:snapToGrid w:val="0"/>
              <w:jc w:val="center"/>
              <w:rPr>
                <w:kern w:val="0"/>
                <w:sz w:val="18"/>
                <w:szCs w:val="18"/>
              </w:rPr>
            </w:pPr>
            <w:r>
              <w:rPr>
                <w:kern w:val="0"/>
                <w:sz w:val="20"/>
              </w:rPr>
              <w:t>≥</w:t>
            </w:r>
            <w:r>
              <w:rPr>
                <w:rFonts w:hint="eastAsia"/>
                <w:kern w:val="0"/>
                <w:sz w:val="20"/>
              </w:rPr>
              <w:t>4</w:t>
            </w:r>
          </w:p>
        </w:tc>
        <w:tc>
          <w:tcPr>
            <w:tcW w:w="2177" w:type="dxa"/>
            <w:vAlign w:val="center"/>
          </w:tcPr>
          <w:p>
            <w:pPr>
              <w:pStyle w:val="11"/>
              <w:widowControl w:val="0"/>
              <w:ind w:firstLine="0" w:firstLineChars="0"/>
              <w:jc w:val="center"/>
              <w:rPr>
                <w:rFonts w:ascii="Times New Roman"/>
                <w:color w:val="auto"/>
              </w:rPr>
            </w:pPr>
            <w:r>
              <w:rPr>
                <w:rFonts w:hint="eastAsia" w:ascii="Times New Roman"/>
                <w:color w:val="auto"/>
                <w:lang w:val="en-US" w:eastAsia="zh-CN"/>
              </w:rPr>
              <w:t>6/6=100%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5" w:type="dxa"/>
            <w:vAlign w:val="center"/>
          </w:tcPr>
          <w:p>
            <w:pPr>
              <w:pStyle w:val="11"/>
              <w:widowControl w:val="0"/>
              <w:ind w:firstLine="0" w:firstLineChars="0"/>
              <w:jc w:val="center"/>
              <w:rPr>
                <w:rFonts w:ascii="Times New Roman"/>
              </w:rPr>
            </w:pPr>
            <w:r>
              <w:rPr>
                <w:rFonts w:hint="eastAsia" w:ascii="Times New Roman"/>
              </w:rPr>
              <w:t>17</w:t>
            </w:r>
          </w:p>
        </w:tc>
        <w:tc>
          <w:tcPr>
            <w:tcW w:w="669" w:type="dxa"/>
            <w:vMerge w:val="continue"/>
            <w:vAlign w:val="center"/>
          </w:tcPr>
          <w:p>
            <w:pPr>
              <w:adjustRightInd w:val="0"/>
              <w:snapToGrid w:val="0"/>
              <w:jc w:val="center"/>
            </w:pPr>
          </w:p>
        </w:tc>
        <w:tc>
          <w:tcPr>
            <w:tcW w:w="697" w:type="dxa"/>
            <w:vMerge w:val="continue"/>
            <w:vAlign w:val="center"/>
          </w:tcPr>
          <w:p>
            <w:pPr>
              <w:adjustRightInd w:val="0"/>
              <w:snapToGrid w:val="0"/>
              <w:jc w:val="center"/>
            </w:pPr>
          </w:p>
        </w:tc>
        <w:tc>
          <w:tcPr>
            <w:tcW w:w="795" w:type="dxa"/>
            <w:vAlign w:val="center"/>
          </w:tcPr>
          <w:p>
            <w:pPr>
              <w:adjustRightInd w:val="0"/>
              <w:snapToGrid w:val="0"/>
              <w:jc w:val="center"/>
            </w:pPr>
            <w:r>
              <w:rPr>
                <w:rFonts w:hint="eastAsia"/>
                <w:kern w:val="0"/>
                <w:sz w:val="20"/>
              </w:rPr>
              <w:t>扇</w:t>
            </w:r>
          </w:p>
        </w:tc>
        <w:tc>
          <w:tcPr>
            <w:tcW w:w="1215" w:type="dxa"/>
            <w:vMerge w:val="continue"/>
            <w:vAlign w:val="center"/>
          </w:tcPr>
          <w:p>
            <w:pPr>
              <w:adjustRightInd w:val="0"/>
              <w:snapToGrid w:val="0"/>
              <w:jc w:val="center"/>
              <w:rPr>
                <w:color w:val="000000" w:themeColor="text1"/>
                <w:sz w:val="18"/>
                <w:szCs w:val="18"/>
              </w:rPr>
            </w:pPr>
          </w:p>
        </w:tc>
        <w:tc>
          <w:tcPr>
            <w:tcW w:w="2294" w:type="dxa"/>
            <w:vAlign w:val="center"/>
          </w:tcPr>
          <w:p>
            <w:pPr>
              <w:adjustRightInd w:val="0"/>
              <w:snapToGrid w:val="0"/>
              <w:jc w:val="center"/>
              <w:rPr>
                <w:kern w:val="0"/>
                <w:sz w:val="18"/>
                <w:szCs w:val="18"/>
              </w:rPr>
            </w:pPr>
            <w:r>
              <w:rPr>
                <w:kern w:val="0"/>
                <w:sz w:val="20"/>
              </w:rPr>
              <w:t>≥</w:t>
            </w:r>
            <w:r>
              <w:rPr>
                <w:rFonts w:hint="eastAsia"/>
                <w:kern w:val="0"/>
                <w:sz w:val="20"/>
              </w:rPr>
              <w:t>3</w:t>
            </w:r>
          </w:p>
        </w:tc>
        <w:tc>
          <w:tcPr>
            <w:tcW w:w="2177" w:type="dxa"/>
            <w:vAlign w:val="center"/>
          </w:tcPr>
          <w:p>
            <w:pPr>
              <w:pStyle w:val="11"/>
              <w:widowControl w:val="0"/>
              <w:ind w:firstLine="0" w:firstLineChars="0"/>
              <w:jc w:val="center"/>
              <w:rPr>
                <w:rFonts w:ascii="Times New Roman"/>
                <w:color w:val="auto"/>
              </w:rPr>
            </w:pPr>
            <w:r>
              <w:rPr>
                <w:rFonts w:hint="eastAsia" w:ascii="Times New Roman"/>
                <w:color w:val="auto"/>
                <w:lang w:val="en-US" w:eastAsia="zh-CN"/>
              </w:rPr>
              <w:t>12/12=100%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675" w:type="dxa"/>
            <w:vMerge w:val="restart"/>
            <w:vAlign w:val="center"/>
          </w:tcPr>
          <w:p>
            <w:pPr>
              <w:pStyle w:val="11"/>
              <w:widowControl w:val="0"/>
              <w:ind w:firstLine="0" w:firstLineChars="0"/>
              <w:jc w:val="center"/>
              <w:rPr>
                <w:rFonts w:ascii="Times New Roman"/>
              </w:rPr>
            </w:pPr>
            <w:r>
              <w:rPr>
                <w:rFonts w:hint="eastAsia" w:ascii="Times New Roman"/>
              </w:rPr>
              <w:t>18</w:t>
            </w:r>
          </w:p>
        </w:tc>
        <w:tc>
          <w:tcPr>
            <w:tcW w:w="669" w:type="dxa"/>
            <w:vMerge w:val="restart"/>
            <w:vAlign w:val="center"/>
          </w:tcPr>
          <w:p>
            <w:pPr>
              <w:autoSpaceDE w:val="0"/>
              <w:autoSpaceDN w:val="0"/>
              <w:adjustRightInd w:val="0"/>
              <w:snapToGrid w:val="0"/>
              <w:jc w:val="center"/>
              <w:rPr>
                <w:kern w:val="0"/>
                <w:sz w:val="18"/>
                <w:szCs w:val="18"/>
              </w:rPr>
            </w:pPr>
            <w:r>
              <w:rPr>
                <w:kern w:val="0"/>
                <w:sz w:val="20"/>
              </w:rPr>
              <w:t>主型材壁厚</w:t>
            </w:r>
          </w:p>
        </w:tc>
        <w:tc>
          <w:tcPr>
            <w:tcW w:w="1492" w:type="dxa"/>
            <w:gridSpan w:val="2"/>
            <w:vAlign w:val="center"/>
          </w:tcPr>
          <w:p>
            <w:pPr>
              <w:adjustRightInd w:val="0"/>
              <w:snapToGrid w:val="0"/>
              <w:jc w:val="center"/>
            </w:pPr>
            <w:r>
              <w:rPr>
                <w:kern w:val="0"/>
                <w:sz w:val="20"/>
              </w:rPr>
              <w:t>平开</w:t>
            </w:r>
          </w:p>
        </w:tc>
        <w:tc>
          <w:tcPr>
            <w:tcW w:w="1215" w:type="dxa"/>
            <w:vMerge w:val="restart"/>
            <w:vAlign w:val="center"/>
          </w:tcPr>
          <w:p>
            <w:pPr>
              <w:adjustRightInd w:val="0"/>
              <w:snapToGrid w:val="0"/>
              <w:jc w:val="center"/>
              <w:rPr>
                <w:kern w:val="0"/>
                <w:sz w:val="18"/>
                <w:szCs w:val="18"/>
              </w:rPr>
            </w:pPr>
            <w:r>
              <w:rPr>
                <w:kern w:val="0"/>
                <w:sz w:val="20"/>
              </w:rPr>
              <w:t>mm</w:t>
            </w:r>
          </w:p>
        </w:tc>
        <w:tc>
          <w:tcPr>
            <w:tcW w:w="2294" w:type="dxa"/>
            <w:vAlign w:val="center"/>
          </w:tcPr>
          <w:p>
            <w:pPr>
              <w:adjustRightInd w:val="0"/>
              <w:snapToGrid w:val="0"/>
              <w:jc w:val="center"/>
              <w:rPr>
                <w:rFonts w:hint="eastAsia" w:eastAsia="宋体"/>
                <w:kern w:val="0"/>
                <w:sz w:val="20"/>
                <w:lang w:eastAsia="zh-CN"/>
              </w:rPr>
            </w:pPr>
            <w:r>
              <w:rPr>
                <w:kern w:val="0"/>
                <w:sz w:val="20"/>
              </w:rPr>
              <w:t>≥2.</w:t>
            </w:r>
            <w:r>
              <w:rPr>
                <w:rFonts w:hint="eastAsia"/>
                <w:kern w:val="0"/>
                <w:sz w:val="20"/>
                <w:lang w:val="en-US" w:eastAsia="zh-CN"/>
              </w:rPr>
              <w:t>5</w:t>
            </w:r>
          </w:p>
        </w:tc>
        <w:tc>
          <w:tcPr>
            <w:tcW w:w="2177" w:type="dxa"/>
            <w:vAlign w:val="center"/>
          </w:tcPr>
          <w:p>
            <w:pPr>
              <w:pStyle w:val="11"/>
              <w:widowControl w:val="0"/>
              <w:ind w:firstLine="0" w:firstLineChars="0"/>
              <w:jc w:val="center"/>
              <w:rPr>
                <w:rFonts w:hint="default" w:ascii="Times New Roman" w:eastAsia="宋体"/>
                <w:color w:val="auto"/>
                <w:lang w:val="en-US" w:eastAsia="zh-CN"/>
              </w:rPr>
            </w:pPr>
            <w:bookmarkStart w:id="8" w:name="OLE_LINK2"/>
            <w:r>
              <w:rPr>
                <w:rFonts w:hint="eastAsia" w:ascii="Times New Roman"/>
                <w:color w:val="auto"/>
                <w:lang w:val="en-US" w:eastAsia="zh-CN"/>
              </w:rPr>
              <w:t>6/11=54.5%</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675" w:type="dxa"/>
            <w:vMerge w:val="continue"/>
            <w:vAlign w:val="center"/>
          </w:tcPr>
          <w:p>
            <w:pPr>
              <w:adjustRightInd w:val="0"/>
              <w:snapToGrid w:val="0"/>
              <w:jc w:val="center"/>
            </w:pPr>
          </w:p>
        </w:tc>
        <w:tc>
          <w:tcPr>
            <w:tcW w:w="669" w:type="dxa"/>
            <w:vMerge w:val="continue"/>
            <w:vAlign w:val="center"/>
          </w:tcPr>
          <w:p>
            <w:pPr>
              <w:adjustRightInd w:val="0"/>
              <w:snapToGrid w:val="0"/>
              <w:jc w:val="center"/>
            </w:pPr>
          </w:p>
        </w:tc>
        <w:tc>
          <w:tcPr>
            <w:tcW w:w="1492" w:type="dxa"/>
            <w:gridSpan w:val="2"/>
            <w:vAlign w:val="center"/>
          </w:tcPr>
          <w:p>
            <w:pPr>
              <w:adjustRightInd w:val="0"/>
              <w:snapToGrid w:val="0"/>
              <w:jc w:val="center"/>
              <w:rPr>
                <w:kern w:val="0"/>
                <w:sz w:val="20"/>
              </w:rPr>
            </w:pPr>
            <w:r>
              <w:rPr>
                <w:rFonts w:hint="eastAsia"/>
                <w:kern w:val="0"/>
                <w:sz w:val="20"/>
                <w:lang w:eastAsia="zh-CN"/>
              </w:rPr>
              <w:t>推拉</w:t>
            </w:r>
          </w:p>
        </w:tc>
        <w:tc>
          <w:tcPr>
            <w:tcW w:w="1215" w:type="dxa"/>
            <w:vMerge w:val="continue"/>
            <w:vAlign w:val="center"/>
          </w:tcPr>
          <w:p>
            <w:pPr>
              <w:adjustRightInd w:val="0"/>
              <w:snapToGrid w:val="0"/>
              <w:jc w:val="center"/>
              <w:rPr>
                <w:kern w:val="0"/>
                <w:sz w:val="20"/>
              </w:rPr>
            </w:pPr>
          </w:p>
        </w:tc>
        <w:tc>
          <w:tcPr>
            <w:tcW w:w="2294" w:type="dxa"/>
            <w:vAlign w:val="center"/>
          </w:tcPr>
          <w:p>
            <w:pPr>
              <w:adjustRightInd w:val="0"/>
              <w:snapToGrid w:val="0"/>
              <w:jc w:val="center"/>
              <w:rPr>
                <w:rFonts w:hint="eastAsia" w:eastAsia="宋体"/>
                <w:kern w:val="0"/>
                <w:sz w:val="20"/>
                <w:lang w:eastAsia="zh-CN"/>
              </w:rPr>
            </w:pPr>
            <w:r>
              <w:rPr>
                <w:kern w:val="0"/>
                <w:sz w:val="20"/>
              </w:rPr>
              <w:t>≥2.</w:t>
            </w:r>
            <w:r>
              <w:rPr>
                <w:rFonts w:hint="eastAsia"/>
                <w:kern w:val="0"/>
                <w:sz w:val="20"/>
                <w:lang w:val="en-US" w:eastAsia="zh-CN"/>
              </w:rPr>
              <w:t>2</w:t>
            </w:r>
          </w:p>
        </w:tc>
        <w:tc>
          <w:tcPr>
            <w:tcW w:w="2177" w:type="dxa"/>
            <w:vAlign w:val="center"/>
          </w:tcPr>
          <w:p>
            <w:pPr>
              <w:adjustRightInd w:val="0"/>
              <w:snapToGrid w:val="0"/>
              <w:jc w:val="center"/>
              <w:rPr>
                <w:color w:val="auto"/>
                <w:kern w:val="0"/>
                <w:sz w:val="20"/>
              </w:rPr>
            </w:pPr>
            <w:r>
              <w:rPr>
                <w:rFonts w:hint="eastAsia"/>
                <w:color w:val="auto"/>
                <w:lang w:val="en-US" w:eastAsia="zh-CN"/>
              </w:rPr>
              <w:t>18</w:t>
            </w:r>
            <w:r>
              <w:rPr>
                <w:rFonts w:hint="eastAsia" w:ascii="Times New Roman"/>
                <w:color w:val="auto"/>
                <w:lang w:val="en-US" w:eastAsia="zh-CN"/>
              </w:rPr>
              <w:t>/1</w:t>
            </w:r>
            <w:r>
              <w:rPr>
                <w:rFonts w:hint="eastAsia"/>
                <w:color w:val="auto"/>
                <w:lang w:val="en-US" w:eastAsia="zh-CN"/>
              </w:rPr>
              <w:t>8</w:t>
            </w:r>
            <w:r>
              <w:rPr>
                <w:rFonts w:hint="eastAsia" w:ascii="Times New Roman"/>
                <w:color w:val="auto"/>
                <w:lang w:val="en-US" w:eastAsia="zh-CN"/>
              </w:rPr>
              <w:t>=</w:t>
            </w:r>
            <w:r>
              <w:rPr>
                <w:rFonts w:hint="eastAsia"/>
                <w:color w:val="auto"/>
                <w:lang w:val="en-US" w:eastAsia="zh-CN"/>
              </w:rPr>
              <w:t>100</w:t>
            </w:r>
            <w:r>
              <w:rPr>
                <w:rFonts w:hint="eastAsia" w:ascii="Times New Roman"/>
                <w:color w:val="auto"/>
                <w:lang w:val="en-US" w:eastAsia="zh-CN"/>
              </w:rPr>
              <w:t>%</w:t>
            </w:r>
          </w:p>
        </w:tc>
      </w:tr>
    </w:tbl>
    <w:p>
      <w:pPr>
        <w:pStyle w:val="11"/>
        <w:ind w:firstLine="0" w:firstLineChars="0"/>
      </w:pPr>
    </w:p>
    <w:p>
      <w:pPr>
        <w:pStyle w:val="11"/>
        <w:spacing w:line="360" w:lineRule="auto"/>
        <w:ind w:firstLine="480"/>
        <w:jc w:val="left"/>
        <w:rPr>
          <w:sz w:val="24"/>
          <w:szCs w:val="24"/>
        </w:rPr>
      </w:pPr>
      <w:r>
        <w:rPr>
          <w:rFonts w:hint="eastAsia"/>
          <w:sz w:val="24"/>
          <w:szCs w:val="24"/>
        </w:rPr>
        <w:t>通过对生产门窗用塑料型材企业的产品进行相关指标调研及测试，主要产品指标包括氯乙烯单体残留量(PVC)、稳定剂含量、有害物质（铅、镉、六价铬、汞、增塑剂）含量、型材灰分、氧指数、老化时间等，综合选取前25%的测试结果，并结合</w:t>
      </w:r>
      <w:r>
        <w:rPr>
          <w:rFonts w:hint="eastAsia"/>
          <w:color w:val="000000" w:themeColor="text1"/>
          <w:sz w:val="24"/>
          <w:szCs w:val="24"/>
        </w:rPr>
        <w:t>国内外</w:t>
      </w:r>
      <w:r>
        <w:rPr>
          <w:rFonts w:hint="eastAsia"/>
          <w:sz w:val="24"/>
          <w:szCs w:val="24"/>
        </w:rPr>
        <w:t>的标准要求情况作为参考，最终确定指标的基准值。</w:t>
      </w:r>
    </w:p>
    <w:p>
      <w:pPr>
        <w:spacing w:line="360" w:lineRule="auto"/>
        <w:ind w:firstLine="480" w:firstLineChars="200"/>
        <w:rPr>
          <w:rFonts w:hint="eastAsia"/>
          <w:sz w:val="24"/>
          <w:szCs w:val="24"/>
        </w:rPr>
      </w:pPr>
      <w:r>
        <w:rPr>
          <w:rFonts w:hint="eastAsia"/>
          <w:sz w:val="24"/>
          <w:szCs w:val="24"/>
        </w:rPr>
        <w:t>具体实验验证数据见附表所示。</w:t>
      </w:r>
    </w:p>
    <w:p>
      <w:pPr>
        <w:pStyle w:val="11"/>
        <w:spacing w:line="360" w:lineRule="auto"/>
        <w:ind w:firstLine="480"/>
        <w:rPr>
          <w:rFonts w:hint="eastAsia" w:ascii="Times New Roman"/>
          <w:sz w:val="24"/>
          <w:szCs w:val="28"/>
        </w:rPr>
      </w:pPr>
      <w:r>
        <w:rPr>
          <w:rFonts w:ascii="Times New Roman"/>
          <w:sz w:val="24"/>
          <w:szCs w:val="28"/>
        </w:rPr>
        <w:t>本标准的发布和实施，将进一步规范行业的生产过程和产品的生态性，为</w:t>
      </w:r>
      <w:r>
        <w:rPr>
          <w:rFonts w:hint="eastAsia" w:ascii="Times New Roman"/>
          <w:sz w:val="24"/>
          <w:szCs w:val="28"/>
        </w:rPr>
        <w:t>绿色</w:t>
      </w:r>
      <w:r>
        <w:rPr>
          <w:rFonts w:hint="eastAsia" w:ascii="Times New Roman"/>
          <w:sz w:val="24"/>
          <w:szCs w:val="28"/>
          <w:lang w:eastAsia="zh-CN"/>
        </w:rPr>
        <w:t>门窗用</w:t>
      </w:r>
      <w:r>
        <w:rPr>
          <w:rFonts w:hint="eastAsia" w:ascii="Times New Roman"/>
          <w:sz w:val="24"/>
          <w:szCs w:val="28"/>
        </w:rPr>
        <w:t>塑料</w:t>
      </w:r>
      <w:r>
        <w:rPr>
          <w:rFonts w:hint="eastAsia" w:ascii="Times New Roman"/>
          <w:sz w:val="24"/>
          <w:szCs w:val="28"/>
          <w:lang w:eastAsia="zh-CN"/>
        </w:rPr>
        <w:t>型材</w:t>
      </w:r>
      <w:r>
        <w:rPr>
          <w:rFonts w:hint="eastAsia" w:ascii="Times New Roman"/>
          <w:sz w:val="24"/>
          <w:szCs w:val="28"/>
        </w:rPr>
        <w:t>的生产、使用、废弃等</w:t>
      </w:r>
      <w:r>
        <w:rPr>
          <w:rFonts w:ascii="Times New Roman"/>
          <w:sz w:val="24"/>
          <w:szCs w:val="28"/>
        </w:rPr>
        <w:t>提供全周期的指导</w:t>
      </w:r>
      <w:r>
        <w:rPr>
          <w:rFonts w:hint="eastAsia" w:ascii="Times New Roman"/>
          <w:sz w:val="24"/>
          <w:szCs w:val="28"/>
        </w:rPr>
        <w:t>，有利于缓解环境污染等问题</w:t>
      </w:r>
      <w:r>
        <w:rPr>
          <w:rFonts w:ascii="Times New Roman"/>
          <w:sz w:val="24"/>
          <w:szCs w:val="28"/>
        </w:rPr>
        <w:t>。同时，标准的实施也保证了人</w:t>
      </w:r>
      <w:r>
        <w:rPr>
          <w:rFonts w:hint="eastAsia" w:ascii="Times New Roman"/>
          <w:sz w:val="24"/>
          <w:szCs w:val="28"/>
        </w:rPr>
        <w:t>体</w:t>
      </w:r>
      <w:r>
        <w:rPr>
          <w:rFonts w:ascii="Times New Roman"/>
          <w:sz w:val="24"/>
          <w:szCs w:val="28"/>
        </w:rPr>
        <w:t>健康，提高消费者生活水平，促进整个行业的高速发展，使我国的绿色</w:t>
      </w:r>
      <w:r>
        <w:rPr>
          <w:rFonts w:hint="eastAsia" w:ascii="Times New Roman"/>
          <w:sz w:val="24"/>
          <w:szCs w:val="28"/>
          <w:lang w:eastAsia="zh-CN"/>
        </w:rPr>
        <w:t>门窗用</w:t>
      </w:r>
      <w:r>
        <w:rPr>
          <w:rFonts w:ascii="Times New Roman"/>
          <w:sz w:val="24"/>
          <w:szCs w:val="28"/>
        </w:rPr>
        <w:t>塑料</w:t>
      </w:r>
      <w:r>
        <w:rPr>
          <w:rFonts w:hint="eastAsia" w:ascii="Times New Roman"/>
          <w:sz w:val="24"/>
          <w:szCs w:val="28"/>
          <w:lang w:eastAsia="zh-CN"/>
        </w:rPr>
        <w:t>型材</w:t>
      </w:r>
      <w:r>
        <w:rPr>
          <w:rFonts w:ascii="Times New Roman"/>
          <w:sz w:val="24"/>
          <w:szCs w:val="28"/>
        </w:rPr>
        <w:t>标准达到国际领先水平，提高产业的经济和社会效益。</w:t>
      </w:r>
      <w:r>
        <w:rPr>
          <w:rFonts w:hint="eastAsia"/>
          <w:sz w:val="24"/>
          <w:szCs w:val="24"/>
        </w:rPr>
        <w:t>本标准涉及</w:t>
      </w:r>
      <w:r>
        <w:rPr>
          <w:rFonts w:hint="eastAsia"/>
          <w:sz w:val="24"/>
          <w:szCs w:val="24"/>
          <w:lang w:eastAsia="zh-CN"/>
        </w:rPr>
        <w:t>门窗用塑料型材</w:t>
      </w:r>
      <w:r>
        <w:rPr>
          <w:rFonts w:hint="eastAsia"/>
          <w:sz w:val="24"/>
          <w:szCs w:val="24"/>
        </w:rPr>
        <w:t>品</w:t>
      </w:r>
      <w:r>
        <w:rPr>
          <w:rFonts w:hint="eastAsia" w:ascii="Times New Roman"/>
          <w:sz w:val="24"/>
          <w:szCs w:val="24"/>
        </w:rPr>
        <w:t>种类数十种，</w:t>
      </w:r>
      <w:r>
        <w:rPr>
          <w:rFonts w:hint="eastAsia"/>
          <w:sz w:val="24"/>
          <w:szCs w:val="24"/>
        </w:rPr>
        <w:t>约</w:t>
      </w:r>
      <w:r>
        <w:rPr>
          <w:rFonts w:hint="eastAsia"/>
          <w:sz w:val="24"/>
          <w:szCs w:val="24"/>
          <w:lang w:val="en-US" w:eastAsia="zh-CN"/>
        </w:rPr>
        <w:t>400</w:t>
      </w:r>
      <w:r>
        <w:rPr>
          <w:rFonts w:hint="eastAsia"/>
          <w:sz w:val="24"/>
          <w:szCs w:val="24"/>
        </w:rPr>
        <w:t>万吨产量，</w:t>
      </w:r>
      <w:r>
        <w:rPr>
          <w:rFonts w:hint="eastAsia" w:ascii="Times New Roman"/>
          <w:sz w:val="24"/>
          <w:szCs w:val="24"/>
        </w:rPr>
        <w:t>平均每吨按照25000元计算，涉及生产总值达</w:t>
      </w:r>
      <w:r>
        <w:rPr>
          <w:rFonts w:hint="eastAsia" w:ascii="Times New Roman"/>
          <w:sz w:val="24"/>
          <w:szCs w:val="24"/>
          <w:lang w:val="en-US" w:eastAsia="zh-CN"/>
        </w:rPr>
        <w:t>1000万</w:t>
      </w:r>
      <w:r>
        <w:rPr>
          <w:rFonts w:hint="eastAsia" w:ascii="Times New Roman"/>
          <w:sz w:val="24"/>
          <w:szCs w:val="24"/>
        </w:rPr>
        <w:t>元以上。</w:t>
      </w:r>
    </w:p>
    <w:p>
      <w:pPr>
        <w:spacing w:line="360" w:lineRule="auto"/>
        <w:jc w:val="left"/>
        <w:rPr>
          <w:rFonts w:ascii="黑体" w:hAnsi="黑体" w:eastAsia="黑体" w:cs="宋体"/>
          <w:b/>
          <w:sz w:val="32"/>
          <w:szCs w:val="32"/>
        </w:rPr>
      </w:pPr>
      <w:r>
        <w:rPr>
          <w:rFonts w:hint="eastAsia" w:ascii="黑体" w:hAnsi="黑体" w:eastAsia="黑体" w:cs="宋体"/>
          <w:b/>
          <w:sz w:val="32"/>
          <w:szCs w:val="32"/>
        </w:rPr>
        <w:t>四</w:t>
      </w:r>
      <w:r>
        <w:rPr>
          <w:rFonts w:hint="eastAsia" w:ascii="黑体" w:hAnsi="黑体" w:eastAsia="黑体" w:cs="宋体"/>
          <w:b/>
          <w:kern w:val="0"/>
          <w:sz w:val="32"/>
          <w:szCs w:val="32"/>
        </w:rPr>
        <w:t>．</w:t>
      </w:r>
      <w:r>
        <w:fldChar w:fldCharType="begin"/>
      </w:r>
      <w:r>
        <w:instrText xml:space="preserve"> HYPERLINK "https://baike.baidu.com/item/%E9%87%87%E7%94%A8%E5%9B%BD%E9%99%85%E6%A0%87%E5%87%86/2926311" \t "_blank" </w:instrText>
      </w:r>
      <w:r>
        <w:fldChar w:fldCharType="separate"/>
      </w:r>
      <w:r>
        <w:rPr>
          <w:rFonts w:ascii="黑体" w:hAnsi="黑体" w:eastAsia="黑体" w:cs="宋体"/>
          <w:b/>
          <w:sz w:val="32"/>
          <w:szCs w:val="32"/>
        </w:rPr>
        <w:t>采用国际标准</w:t>
      </w:r>
      <w:r>
        <w:rPr>
          <w:rFonts w:ascii="黑体" w:hAnsi="黑体" w:eastAsia="黑体" w:cs="宋体"/>
          <w:b/>
          <w:sz w:val="32"/>
          <w:szCs w:val="32"/>
        </w:rPr>
        <w:fldChar w:fldCharType="end"/>
      </w:r>
      <w:r>
        <w:rPr>
          <w:rFonts w:ascii="黑体" w:hAnsi="黑体" w:eastAsia="黑体" w:cs="宋体"/>
          <w:b/>
          <w:sz w:val="32"/>
          <w:szCs w:val="32"/>
        </w:rPr>
        <w:t>和</w:t>
      </w:r>
      <w:r>
        <w:fldChar w:fldCharType="begin"/>
      </w:r>
      <w:r>
        <w:instrText xml:space="preserve"> HYPERLINK "https://baike.baidu.com/item/%E5%9B%BD%E5%A4%96%E5%85%88%E8%BF%9B%E6%A0%87%E5%87%86/234547" \t "_blank" </w:instrText>
      </w:r>
      <w:r>
        <w:fldChar w:fldCharType="separate"/>
      </w:r>
      <w:r>
        <w:rPr>
          <w:rFonts w:ascii="黑体" w:hAnsi="黑体" w:eastAsia="黑体" w:cs="宋体"/>
          <w:b/>
          <w:sz w:val="32"/>
          <w:szCs w:val="32"/>
        </w:rPr>
        <w:t>国外先进标准</w:t>
      </w:r>
      <w:r>
        <w:rPr>
          <w:rFonts w:ascii="黑体" w:hAnsi="黑体" w:eastAsia="黑体" w:cs="宋体"/>
          <w:b/>
          <w:sz w:val="32"/>
          <w:szCs w:val="32"/>
        </w:rPr>
        <w:fldChar w:fldCharType="end"/>
      </w:r>
      <w:r>
        <w:rPr>
          <w:rFonts w:ascii="黑体" w:hAnsi="黑体" w:eastAsia="黑体" w:cs="宋体"/>
          <w:b/>
          <w:sz w:val="32"/>
          <w:szCs w:val="32"/>
        </w:rPr>
        <w:t>的情况</w:t>
      </w:r>
    </w:p>
    <w:p>
      <w:pPr>
        <w:spacing w:line="360" w:lineRule="auto"/>
        <w:ind w:firstLine="480" w:firstLineChars="200"/>
        <w:rPr>
          <w:sz w:val="24"/>
          <w:szCs w:val="28"/>
        </w:rPr>
      </w:pPr>
      <w:r>
        <w:rPr>
          <w:sz w:val="24"/>
          <w:szCs w:val="28"/>
        </w:rPr>
        <w:t>本标准基值的设定相比于国内其他</w:t>
      </w:r>
      <w:r>
        <w:rPr>
          <w:rFonts w:hint="eastAsia"/>
          <w:sz w:val="24"/>
          <w:szCs w:val="28"/>
        </w:rPr>
        <w:t>相关</w:t>
      </w:r>
      <w:r>
        <w:rPr>
          <w:sz w:val="24"/>
          <w:szCs w:val="28"/>
        </w:rPr>
        <w:t>标准，甚至欧盟、美国均要严格，本标准推广后，将</w:t>
      </w:r>
      <w:r>
        <w:rPr>
          <w:rFonts w:hint="eastAsia"/>
          <w:sz w:val="24"/>
          <w:szCs w:val="28"/>
        </w:rPr>
        <w:t>会有效地规范绿色</w:t>
      </w:r>
      <w:r>
        <w:rPr>
          <w:rFonts w:hint="eastAsia"/>
          <w:sz w:val="24"/>
          <w:szCs w:val="28"/>
          <w:lang w:eastAsia="zh-CN"/>
        </w:rPr>
        <w:t>门窗用</w:t>
      </w:r>
      <w:r>
        <w:rPr>
          <w:rFonts w:hint="eastAsia"/>
          <w:sz w:val="24"/>
          <w:szCs w:val="28"/>
        </w:rPr>
        <w:t>塑料</w:t>
      </w:r>
      <w:r>
        <w:rPr>
          <w:rFonts w:hint="eastAsia"/>
          <w:sz w:val="24"/>
          <w:szCs w:val="28"/>
          <w:lang w:eastAsia="zh-CN"/>
        </w:rPr>
        <w:t>型材</w:t>
      </w:r>
      <w:r>
        <w:rPr>
          <w:rFonts w:hint="eastAsia"/>
          <w:sz w:val="24"/>
          <w:szCs w:val="28"/>
        </w:rPr>
        <w:t>行业的标准，推动</w:t>
      </w:r>
      <w:r>
        <w:rPr>
          <w:sz w:val="24"/>
          <w:szCs w:val="28"/>
        </w:rPr>
        <w:t>我国</w:t>
      </w:r>
      <w:r>
        <w:rPr>
          <w:rFonts w:hint="eastAsia"/>
          <w:sz w:val="24"/>
          <w:szCs w:val="28"/>
          <w:lang w:eastAsia="zh-CN"/>
        </w:rPr>
        <w:t>门窗用</w:t>
      </w:r>
      <w:r>
        <w:rPr>
          <w:sz w:val="24"/>
          <w:szCs w:val="28"/>
        </w:rPr>
        <w:t>塑料</w:t>
      </w:r>
      <w:r>
        <w:rPr>
          <w:rFonts w:hint="eastAsia"/>
          <w:sz w:val="24"/>
          <w:szCs w:val="28"/>
          <w:lang w:eastAsia="zh-CN"/>
        </w:rPr>
        <w:t>型材</w:t>
      </w:r>
      <w:r>
        <w:rPr>
          <w:sz w:val="24"/>
          <w:szCs w:val="28"/>
        </w:rPr>
        <w:t>行业的发展，使其处于世界领先地位。</w:t>
      </w:r>
    </w:p>
    <w:p>
      <w:pPr>
        <w:spacing w:line="360" w:lineRule="auto"/>
        <w:jc w:val="left"/>
        <w:rPr>
          <w:sz w:val="24"/>
          <w:szCs w:val="28"/>
        </w:rPr>
      </w:pPr>
      <w:r>
        <w:rPr>
          <w:rFonts w:hint="eastAsia" w:ascii="黑体" w:hAnsi="黑体" w:eastAsia="黑体" w:cs="宋体"/>
          <w:b/>
          <w:sz w:val="32"/>
          <w:szCs w:val="32"/>
        </w:rPr>
        <w:t>五</w:t>
      </w:r>
      <w:r>
        <w:rPr>
          <w:rFonts w:hint="eastAsia" w:ascii="黑体" w:hAnsi="黑体" w:eastAsia="黑体" w:cs="宋体"/>
          <w:b/>
          <w:kern w:val="0"/>
          <w:sz w:val="32"/>
          <w:szCs w:val="32"/>
        </w:rPr>
        <w:t>．</w:t>
      </w:r>
      <w:r>
        <w:rPr>
          <w:rFonts w:ascii="黑体" w:hAnsi="黑体" w:eastAsia="黑体" w:cs="宋体"/>
          <w:b/>
          <w:sz w:val="32"/>
          <w:szCs w:val="32"/>
        </w:rPr>
        <w:t>与有关的现行法律、法规和强制性国家标准的关系</w:t>
      </w:r>
    </w:p>
    <w:p>
      <w:pPr>
        <w:pStyle w:val="11"/>
        <w:spacing w:line="360" w:lineRule="auto"/>
        <w:ind w:firstLine="480"/>
        <w:rPr>
          <w:rFonts w:ascii="Times New Roman"/>
          <w:sz w:val="24"/>
          <w:szCs w:val="28"/>
        </w:rPr>
      </w:pPr>
      <w:r>
        <w:rPr>
          <w:rFonts w:hint="eastAsia" w:ascii="Times New Roman"/>
          <w:sz w:val="24"/>
          <w:szCs w:val="28"/>
        </w:rPr>
        <w:t>本标准符合现行法律、法规及强制性国家标准的规定，符合国家相关产业政策。本标准</w:t>
      </w:r>
      <w:r>
        <w:rPr>
          <w:rFonts w:ascii="Times New Roman"/>
          <w:sz w:val="24"/>
          <w:szCs w:val="28"/>
        </w:rPr>
        <w:t>与《清洁生产促进法》的关系：该法明确要求，企业在进行技术改造过程中，应当采用无毒、无害或者低毒、低害的原料，替代毒性大、危害严重的原料。在产品和包装物的设计中，应当考虑其在生命周期中对人类健康和环境的影响，优先选择无毒、无害、易于降解或者便于回收利用的方案。</w:t>
      </w:r>
    </w:p>
    <w:p>
      <w:pPr>
        <w:spacing w:line="360" w:lineRule="auto"/>
        <w:jc w:val="left"/>
        <w:rPr>
          <w:rFonts w:ascii="黑体" w:hAnsi="黑体" w:eastAsia="黑体" w:cs="宋体"/>
          <w:b/>
          <w:sz w:val="32"/>
          <w:szCs w:val="32"/>
        </w:rPr>
      </w:pPr>
      <w:r>
        <w:rPr>
          <w:rFonts w:hint="eastAsia" w:ascii="黑体" w:hAnsi="黑体" w:eastAsia="黑体" w:cs="宋体"/>
          <w:b/>
          <w:sz w:val="32"/>
          <w:szCs w:val="32"/>
        </w:rPr>
        <w:t>六．</w:t>
      </w:r>
      <w:r>
        <w:rPr>
          <w:rFonts w:ascii="黑体" w:hAnsi="黑体" w:eastAsia="黑体" w:cs="宋体"/>
          <w:b/>
          <w:sz w:val="32"/>
          <w:szCs w:val="32"/>
        </w:rPr>
        <w:t>重大分歧意见的处理经过和依据</w:t>
      </w:r>
    </w:p>
    <w:p>
      <w:pPr>
        <w:pStyle w:val="11"/>
        <w:spacing w:line="360" w:lineRule="auto"/>
        <w:ind w:firstLine="480"/>
        <w:rPr>
          <w:rFonts w:hint="eastAsia" w:ascii="Times New Roman"/>
          <w:sz w:val="24"/>
          <w:szCs w:val="28"/>
        </w:rPr>
      </w:pPr>
      <w:r>
        <w:rPr>
          <w:rFonts w:ascii="Times New Roman"/>
          <w:sz w:val="24"/>
          <w:szCs w:val="28"/>
        </w:rPr>
        <w:t>本标准未产生重大分歧意见。</w:t>
      </w:r>
    </w:p>
    <w:p>
      <w:pPr>
        <w:pStyle w:val="11"/>
        <w:spacing w:line="360" w:lineRule="auto"/>
        <w:ind w:firstLine="0" w:firstLineChars="0"/>
        <w:jc w:val="left"/>
        <w:rPr>
          <w:rFonts w:hint="eastAsia" w:ascii="黑体" w:hAnsi="黑体" w:eastAsia="黑体" w:cs="宋体"/>
          <w:b/>
          <w:kern w:val="2"/>
          <w:sz w:val="32"/>
          <w:szCs w:val="32"/>
          <w:lang w:eastAsia="zh-CN"/>
        </w:rPr>
      </w:pPr>
      <w:r>
        <w:rPr>
          <w:rFonts w:hint="eastAsia" w:ascii="黑体" w:hAnsi="黑体" w:eastAsia="黑体" w:cs="宋体"/>
          <w:b/>
          <w:sz w:val="32"/>
          <w:szCs w:val="32"/>
        </w:rPr>
        <w:t>七．</w:t>
      </w:r>
      <w:r>
        <w:rPr>
          <w:rFonts w:ascii="黑体" w:hAnsi="黑体" w:eastAsia="黑体" w:cs="宋体"/>
          <w:b/>
          <w:kern w:val="2"/>
          <w:sz w:val="32"/>
          <w:szCs w:val="32"/>
        </w:rPr>
        <w:t>标准</w:t>
      </w:r>
      <w:r>
        <w:rPr>
          <w:rFonts w:hint="eastAsia" w:ascii="黑体" w:hAnsi="黑体" w:eastAsia="黑体" w:cs="宋体"/>
          <w:b/>
          <w:kern w:val="2"/>
          <w:sz w:val="32"/>
          <w:szCs w:val="32"/>
          <w:lang w:eastAsia="zh-CN"/>
        </w:rPr>
        <w:t>性质的建议说明</w:t>
      </w:r>
    </w:p>
    <w:p>
      <w:pPr>
        <w:pStyle w:val="11"/>
        <w:spacing w:line="360" w:lineRule="auto"/>
        <w:ind w:firstLine="480"/>
        <w:rPr>
          <w:rFonts w:ascii="Times New Roman"/>
          <w:sz w:val="24"/>
          <w:szCs w:val="28"/>
        </w:rPr>
      </w:pPr>
      <w:r>
        <w:rPr>
          <w:rFonts w:hint="eastAsia" w:ascii="Times New Roman"/>
          <w:sz w:val="24"/>
          <w:szCs w:val="28"/>
          <w:lang w:eastAsia="zh-CN"/>
        </w:rPr>
        <w:t>建议本标准的性质为推荐性团体标准</w:t>
      </w:r>
      <w:r>
        <w:rPr>
          <w:rFonts w:ascii="Times New Roman"/>
          <w:sz w:val="24"/>
          <w:szCs w:val="28"/>
        </w:rPr>
        <w:t>。</w:t>
      </w:r>
    </w:p>
    <w:p>
      <w:pPr>
        <w:pStyle w:val="11"/>
        <w:spacing w:line="360" w:lineRule="auto"/>
        <w:ind w:firstLine="0" w:firstLineChars="0"/>
        <w:rPr>
          <w:rFonts w:hint="eastAsia" w:ascii="黑体" w:hAnsi="黑体" w:eastAsia="黑体" w:cs="宋体"/>
          <w:b/>
          <w:kern w:val="2"/>
          <w:sz w:val="32"/>
          <w:szCs w:val="32"/>
        </w:rPr>
      </w:pPr>
      <w:r>
        <w:rPr>
          <w:rFonts w:hint="eastAsia" w:ascii="黑体" w:hAnsi="黑体" w:eastAsia="黑体" w:cs="宋体"/>
          <w:b/>
          <w:sz w:val="32"/>
          <w:szCs w:val="32"/>
          <w:lang w:eastAsia="zh-CN"/>
        </w:rPr>
        <w:t>八</w:t>
      </w:r>
      <w:r>
        <w:rPr>
          <w:rFonts w:hint="eastAsia" w:ascii="黑体" w:hAnsi="黑体" w:eastAsia="黑体" w:cs="宋体"/>
          <w:b/>
          <w:sz w:val="32"/>
          <w:szCs w:val="32"/>
        </w:rPr>
        <w:t>．</w:t>
      </w:r>
      <w:r>
        <w:rPr>
          <w:rFonts w:ascii="黑体" w:hAnsi="黑体" w:eastAsia="黑体" w:cs="宋体"/>
          <w:b/>
          <w:kern w:val="2"/>
          <w:sz w:val="32"/>
          <w:szCs w:val="32"/>
        </w:rPr>
        <w:t>废止现行有关标准的建议</w:t>
      </w:r>
    </w:p>
    <w:p>
      <w:pPr>
        <w:pStyle w:val="11"/>
        <w:spacing w:line="360" w:lineRule="auto"/>
        <w:ind w:firstLine="480"/>
        <w:rPr>
          <w:rFonts w:hint="eastAsia" w:ascii="Times New Roman"/>
          <w:sz w:val="24"/>
          <w:szCs w:val="28"/>
        </w:rPr>
      </w:pPr>
      <w:r>
        <w:rPr>
          <w:rFonts w:ascii="Times New Roman"/>
          <w:sz w:val="24"/>
          <w:szCs w:val="28"/>
        </w:rPr>
        <w:t>无。</w:t>
      </w:r>
    </w:p>
    <w:p>
      <w:pPr>
        <w:pStyle w:val="11"/>
        <w:spacing w:line="360" w:lineRule="auto"/>
        <w:ind w:firstLine="0" w:firstLineChars="0"/>
        <w:rPr>
          <w:rFonts w:hint="eastAsia" w:ascii="黑体" w:hAnsi="黑体" w:eastAsia="黑体" w:cs="宋体"/>
          <w:b/>
          <w:sz w:val="32"/>
          <w:szCs w:val="32"/>
        </w:rPr>
      </w:pPr>
      <w:r>
        <w:rPr>
          <w:rFonts w:hint="eastAsia" w:ascii="黑体" w:hAnsi="黑体" w:eastAsia="黑体" w:cs="宋体"/>
          <w:b/>
          <w:sz w:val="32"/>
          <w:szCs w:val="32"/>
          <w:lang w:eastAsia="zh-CN"/>
        </w:rPr>
        <w:t>九</w:t>
      </w:r>
      <w:r>
        <w:rPr>
          <w:rFonts w:hint="eastAsia" w:ascii="黑体" w:hAnsi="黑体" w:eastAsia="黑体" w:cs="宋体"/>
          <w:b/>
          <w:sz w:val="32"/>
          <w:szCs w:val="32"/>
        </w:rPr>
        <w:t>．</w:t>
      </w:r>
      <w:r>
        <w:rPr>
          <w:rFonts w:ascii="黑体" w:hAnsi="黑体" w:eastAsia="黑体" w:cs="宋体"/>
          <w:b/>
          <w:sz w:val="32"/>
          <w:szCs w:val="32"/>
        </w:rPr>
        <w:t>其他应予说明的事项</w:t>
      </w:r>
    </w:p>
    <w:p>
      <w:pPr>
        <w:pStyle w:val="11"/>
        <w:spacing w:line="360" w:lineRule="auto"/>
        <w:ind w:firstLine="480"/>
        <w:rPr>
          <w:kern w:val="0"/>
          <w:sz w:val="22"/>
          <w:szCs w:val="24"/>
        </w:rPr>
      </w:pPr>
      <w:r>
        <w:rPr>
          <w:rFonts w:ascii="Times New Roman"/>
          <w:sz w:val="24"/>
          <w:szCs w:val="28"/>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303A58"/>
    <w:multiLevelType w:val="singleLevel"/>
    <w:tmpl w:val="A6303A58"/>
    <w:lvl w:ilvl="0" w:tentative="0">
      <w:start w:val="5"/>
      <w:numFmt w:val="decimal"/>
      <w:suff w:val="nothing"/>
      <w:lvlText w:val="%1）"/>
      <w:lvlJc w:val="left"/>
    </w:lvl>
  </w:abstractNum>
  <w:abstractNum w:abstractNumId="1">
    <w:nsid w:val="0EE7631F"/>
    <w:multiLevelType w:val="singleLevel"/>
    <w:tmpl w:val="0EE7631F"/>
    <w:lvl w:ilvl="0" w:tentative="0">
      <w:start w:val="2"/>
      <w:numFmt w:val="decimal"/>
      <w:suff w:val="nothing"/>
      <w:lvlText w:val="%1．"/>
      <w:lvlJc w:val="left"/>
    </w:lvl>
  </w:abstractNum>
  <w:abstractNum w:abstractNumId="2">
    <w:nsid w:val="1DF1F5FE"/>
    <w:multiLevelType w:val="singleLevel"/>
    <w:tmpl w:val="1DF1F5FE"/>
    <w:lvl w:ilvl="0" w:tentative="0">
      <w:start w:val="1"/>
      <w:numFmt w:val="decimal"/>
      <w:suff w:val="nothing"/>
      <w:lvlText w:val="%1）"/>
      <w:lvlJc w:val="left"/>
    </w:lvl>
  </w:abstractNum>
  <w:abstractNum w:abstractNumId="3">
    <w:nsid w:val="1FC91163"/>
    <w:multiLevelType w:val="multilevel"/>
    <w:tmpl w:val="1FC91163"/>
    <w:lvl w:ilvl="0" w:tentative="0">
      <w:start w:val="1"/>
      <w:numFmt w:val="decimal"/>
      <w:pStyle w:val="20"/>
      <w:suff w:val="nothing"/>
      <w:lvlText w:val="%1　"/>
      <w:lvlJc w:val="left"/>
      <w:pPr>
        <w:ind w:left="1277" w:firstLine="0"/>
      </w:pPr>
      <w:rPr>
        <w:rFonts w:hint="eastAsia" w:ascii="黑体" w:hAnsi="Times New Roman" w:eastAsia="黑体"/>
        <w:b w:val="0"/>
        <w:i w:val="0"/>
        <w:sz w:val="21"/>
        <w:szCs w:val="21"/>
      </w:rPr>
    </w:lvl>
    <w:lvl w:ilvl="1" w:tentative="0">
      <w:start w:val="1"/>
      <w:numFmt w:val="decimal"/>
      <w:pStyle w:val="19"/>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1"/>
      <w:suff w:val="nothing"/>
      <w:lvlText w:val="%1.%2.%3　"/>
      <w:lvlJc w:val="left"/>
      <w:pPr>
        <w:ind w:left="1560" w:firstLine="0"/>
      </w:pPr>
      <w:rPr>
        <w:rFonts w:hint="eastAsia" w:ascii="黑体" w:hAnsi="Times New Roman" w:eastAsia="黑体"/>
        <w:b w:val="0"/>
        <w:i w:val="0"/>
        <w:sz w:val="21"/>
      </w:rPr>
    </w:lvl>
    <w:lvl w:ilvl="3" w:tentative="0">
      <w:start w:val="1"/>
      <w:numFmt w:val="decimal"/>
      <w:pStyle w:val="22"/>
      <w:suff w:val="nothing"/>
      <w:lvlText w:val="%1.%2.%3.%4　"/>
      <w:lvlJc w:val="left"/>
      <w:pPr>
        <w:ind w:left="0" w:firstLine="0"/>
      </w:pPr>
      <w:rPr>
        <w:rFonts w:hint="eastAsia" w:ascii="黑体" w:hAnsi="Times New Roman" w:eastAsia="黑体"/>
        <w:b w:val="0"/>
        <w:i w:val="0"/>
        <w:sz w:val="21"/>
      </w:rPr>
    </w:lvl>
    <w:lvl w:ilvl="4" w:tentative="0">
      <w:start w:val="1"/>
      <w:numFmt w:val="decimal"/>
      <w:pStyle w:val="23"/>
      <w:suff w:val="nothing"/>
      <w:lvlText w:val="%1.%2.%3.%4.%5　"/>
      <w:lvlJc w:val="left"/>
      <w:pPr>
        <w:ind w:left="-426" w:firstLine="0"/>
      </w:pPr>
      <w:rPr>
        <w:rFonts w:hint="eastAsia" w:ascii="黑体" w:hAnsi="Times New Roman" w:eastAsia="黑体"/>
        <w:b w:val="0"/>
        <w:i w:val="0"/>
        <w:sz w:val="21"/>
      </w:rPr>
    </w:lvl>
    <w:lvl w:ilvl="5" w:tentative="0">
      <w:start w:val="1"/>
      <w:numFmt w:val="decimal"/>
      <w:pStyle w:val="24"/>
      <w:suff w:val="nothing"/>
      <w:lvlText w:val="%1.%2.%3.%4.%5.%6　"/>
      <w:lvlJc w:val="left"/>
      <w:pPr>
        <w:ind w:left="-426" w:firstLine="0"/>
      </w:pPr>
      <w:rPr>
        <w:rFonts w:hint="eastAsia" w:ascii="黑体" w:hAnsi="Times New Roman" w:eastAsia="黑体"/>
        <w:b w:val="0"/>
        <w:i w:val="0"/>
        <w:sz w:val="21"/>
      </w:rPr>
    </w:lvl>
    <w:lvl w:ilvl="6" w:tentative="0">
      <w:start w:val="1"/>
      <w:numFmt w:val="decimal"/>
      <w:suff w:val="nothing"/>
      <w:lvlText w:val="%1%2.%3.%4.%5.%6.%7　"/>
      <w:lvlJc w:val="left"/>
      <w:pPr>
        <w:ind w:left="-426" w:firstLine="0"/>
      </w:pPr>
      <w:rPr>
        <w:rFonts w:hint="eastAsia" w:ascii="黑体" w:hAnsi="Times New Roman" w:eastAsia="黑体"/>
        <w:b w:val="0"/>
        <w:i w:val="0"/>
        <w:sz w:val="21"/>
      </w:rPr>
    </w:lvl>
    <w:lvl w:ilvl="7" w:tentative="0">
      <w:start w:val="1"/>
      <w:numFmt w:val="decimal"/>
      <w:lvlText w:val="%1.%2.%3.%4.%5.%6.%7.%8"/>
      <w:lvlJc w:val="left"/>
      <w:pPr>
        <w:tabs>
          <w:tab w:val="left" w:pos="3925"/>
        </w:tabs>
        <w:ind w:left="3543" w:hanging="1418"/>
      </w:pPr>
      <w:rPr>
        <w:rFonts w:hint="eastAsia"/>
      </w:rPr>
    </w:lvl>
    <w:lvl w:ilvl="8" w:tentative="0">
      <w:start w:val="1"/>
      <w:numFmt w:val="decimal"/>
      <w:lvlText w:val="%1.%2.%3.%4.%5.%6.%7.%8.%9"/>
      <w:lvlJc w:val="left"/>
      <w:pPr>
        <w:tabs>
          <w:tab w:val="left" w:pos="4351"/>
        </w:tabs>
        <w:ind w:left="4251" w:hanging="1700"/>
      </w:pPr>
      <w:rPr>
        <w:rFonts w:hint="eastAsia"/>
      </w:rPr>
    </w:lvl>
  </w:abstractNum>
  <w:abstractNum w:abstractNumId="4">
    <w:nsid w:val="2C5917C3"/>
    <w:multiLevelType w:val="multilevel"/>
    <w:tmpl w:val="2C5917C3"/>
    <w:lvl w:ilvl="0" w:tentative="0">
      <w:start w:val="1"/>
      <w:numFmt w:val="none"/>
      <w:pStyle w:val="27"/>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B2B57"/>
    <w:rsid w:val="000013F9"/>
    <w:rsid w:val="0000175C"/>
    <w:rsid w:val="00007FAC"/>
    <w:rsid w:val="000104C8"/>
    <w:rsid w:val="0001277A"/>
    <w:rsid w:val="000130B1"/>
    <w:rsid w:val="00017990"/>
    <w:rsid w:val="00032191"/>
    <w:rsid w:val="00034FCC"/>
    <w:rsid w:val="0004091A"/>
    <w:rsid w:val="000519EB"/>
    <w:rsid w:val="000525B4"/>
    <w:rsid w:val="00063013"/>
    <w:rsid w:val="00063704"/>
    <w:rsid w:val="000728B2"/>
    <w:rsid w:val="00073406"/>
    <w:rsid w:val="000802EB"/>
    <w:rsid w:val="00087462"/>
    <w:rsid w:val="00090BB1"/>
    <w:rsid w:val="000B6EA5"/>
    <w:rsid w:val="000C0A48"/>
    <w:rsid w:val="000C2585"/>
    <w:rsid w:val="000C7161"/>
    <w:rsid w:val="000D0E17"/>
    <w:rsid w:val="000D0ECF"/>
    <w:rsid w:val="000E0900"/>
    <w:rsid w:val="000E213E"/>
    <w:rsid w:val="000F6D51"/>
    <w:rsid w:val="00101DD7"/>
    <w:rsid w:val="00103360"/>
    <w:rsid w:val="0010478A"/>
    <w:rsid w:val="00111FED"/>
    <w:rsid w:val="00121008"/>
    <w:rsid w:val="00131EB8"/>
    <w:rsid w:val="00141F3A"/>
    <w:rsid w:val="001457E2"/>
    <w:rsid w:val="00147BAD"/>
    <w:rsid w:val="001523A1"/>
    <w:rsid w:val="00160229"/>
    <w:rsid w:val="001662C2"/>
    <w:rsid w:val="0016739B"/>
    <w:rsid w:val="00171F72"/>
    <w:rsid w:val="00172DCC"/>
    <w:rsid w:val="00182845"/>
    <w:rsid w:val="00184CF6"/>
    <w:rsid w:val="00195982"/>
    <w:rsid w:val="001A496D"/>
    <w:rsid w:val="001A6FFA"/>
    <w:rsid w:val="001A7D91"/>
    <w:rsid w:val="001B2111"/>
    <w:rsid w:val="001B6D27"/>
    <w:rsid w:val="001C0EE5"/>
    <w:rsid w:val="001D387C"/>
    <w:rsid w:val="001D4E82"/>
    <w:rsid w:val="001E4BE6"/>
    <w:rsid w:val="001F529D"/>
    <w:rsid w:val="001F54B8"/>
    <w:rsid w:val="002020E8"/>
    <w:rsid w:val="00207177"/>
    <w:rsid w:val="00210A14"/>
    <w:rsid w:val="00211C5D"/>
    <w:rsid w:val="00215A5C"/>
    <w:rsid w:val="00217D3F"/>
    <w:rsid w:val="00223B03"/>
    <w:rsid w:val="00240F93"/>
    <w:rsid w:val="00242063"/>
    <w:rsid w:val="0025101A"/>
    <w:rsid w:val="00261285"/>
    <w:rsid w:val="002837F8"/>
    <w:rsid w:val="002839F9"/>
    <w:rsid w:val="00287DD4"/>
    <w:rsid w:val="00292945"/>
    <w:rsid w:val="002A3A10"/>
    <w:rsid w:val="002A41F8"/>
    <w:rsid w:val="002A54D2"/>
    <w:rsid w:val="002A66B9"/>
    <w:rsid w:val="002B04A4"/>
    <w:rsid w:val="002B6552"/>
    <w:rsid w:val="002B6AD6"/>
    <w:rsid w:val="002D2CE8"/>
    <w:rsid w:val="002D5426"/>
    <w:rsid w:val="002E3C25"/>
    <w:rsid w:val="002E4A88"/>
    <w:rsid w:val="002F2512"/>
    <w:rsid w:val="0031323C"/>
    <w:rsid w:val="003203E1"/>
    <w:rsid w:val="00321CF3"/>
    <w:rsid w:val="00326694"/>
    <w:rsid w:val="0032732B"/>
    <w:rsid w:val="0033091E"/>
    <w:rsid w:val="00342C93"/>
    <w:rsid w:val="003644E7"/>
    <w:rsid w:val="0037133E"/>
    <w:rsid w:val="0038023F"/>
    <w:rsid w:val="00387681"/>
    <w:rsid w:val="0039136F"/>
    <w:rsid w:val="003937E8"/>
    <w:rsid w:val="003965E3"/>
    <w:rsid w:val="0039684A"/>
    <w:rsid w:val="003B017B"/>
    <w:rsid w:val="003B296E"/>
    <w:rsid w:val="003B54F9"/>
    <w:rsid w:val="003C1FC4"/>
    <w:rsid w:val="003C1FED"/>
    <w:rsid w:val="003C251B"/>
    <w:rsid w:val="003D17E7"/>
    <w:rsid w:val="003D3A2D"/>
    <w:rsid w:val="003D46DA"/>
    <w:rsid w:val="003D4C95"/>
    <w:rsid w:val="003D609D"/>
    <w:rsid w:val="003E0995"/>
    <w:rsid w:val="003E180D"/>
    <w:rsid w:val="003E27D5"/>
    <w:rsid w:val="003E7E5C"/>
    <w:rsid w:val="003F0AFD"/>
    <w:rsid w:val="003F7597"/>
    <w:rsid w:val="0040523E"/>
    <w:rsid w:val="00405E24"/>
    <w:rsid w:val="00407FDE"/>
    <w:rsid w:val="0043555D"/>
    <w:rsid w:val="00436295"/>
    <w:rsid w:val="0044346F"/>
    <w:rsid w:val="00445581"/>
    <w:rsid w:val="00447CD8"/>
    <w:rsid w:val="004565D4"/>
    <w:rsid w:val="004572AF"/>
    <w:rsid w:val="0046368E"/>
    <w:rsid w:val="004658B5"/>
    <w:rsid w:val="00485472"/>
    <w:rsid w:val="00494AF3"/>
    <w:rsid w:val="00497052"/>
    <w:rsid w:val="004B148D"/>
    <w:rsid w:val="004C02E1"/>
    <w:rsid w:val="004C196E"/>
    <w:rsid w:val="004D2D00"/>
    <w:rsid w:val="004D4098"/>
    <w:rsid w:val="004F4412"/>
    <w:rsid w:val="00500D36"/>
    <w:rsid w:val="00501214"/>
    <w:rsid w:val="0050488A"/>
    <w:rsid w:val="005054F0"/>
    <w:rsid w:val="00506929"/>
    <w:rsid w:val="0052160B"/>
    <w:rsid w:val="005325D0"/>
    <w:rsid w:val="00534175"/>
    <w:rsid w:val="005433E7"/>
    <w:rsid w:val="00544A43"/>
    <w:rsid w:val="00552CE0"/>
    <w:rsid w:val="00552E5D"/>
    <w:rsid w:val="00560C26"/>
    <w:rsid w:val="00561B2A"/>
    <w:rsid w:val="00561D57"/>
    <w:rsid w:val="005629E8"/>
    <w:rsid w:val="005643F7"/>
    <w:rsid w:val="00566742"/>
    <w:rsid w:val="005679E4"/>
    <w:rsid w:val="00572D5E"/>
    <w:rsid w:val="00573AD7"/>
    <w:rsid w:val="00595BAB"/>
    <w:rsid w:val="00597BA2"/>
    <w:rsid w:val="005A01A6"/>
    <w:rsid w:val="005A0439"/>
    <w:rsid w:val="005C1ACD"/>
    <w:rsid w:val="005D0426"/>
    <w:rsid w:val="005E0332"/>
    <w:rsid w:val="005E62A8"/>
    <w:rsid w:val="005E6B7A"/>
    <w:rsid w:val="005F61B3"/>
    <w:rsid w:val="00616320"/>
    <w:rsid w:val="00630634"/>
    <w:rsid w:val="00631FB5"/>
    <w:rsid w:val="00642F7F"/>
    <w:rsid w:val="0064321F"/>
    <w:rsid w:val="00646806"/>
    <w:rsid w:val="00650642"/>
    <w:rsid w:val="00650C5E"/>
    <w:rsid w:val="00652C97"/>
    <w:rsid w:val="00660E80"/>
    <w:rsid w:val="00663025"/>
    <w:rsid w:val="00665278"/>
    <w:rsid w:val="00675BFF"/>
    <w:rsid w:val="00676F99"/>
    <w:rsid w:val="006835C4"/>
    <w:rsid w:val="00685D6A"/>
    <w:rsid w:val="006A41DA"/>
    <w:rsid w:val="006B36A6"/>
    <w:rsid w:val="006B4F6B"/>
    <w:rsid w:val="006C0199"/>
    <w:rsid w:val="006C53CB"/>
    <w:rsid w:val="006D077C"/>
    <w:rsid w:val="006D3EED"/>
    <w:rsid w:val="006F6181"/>
    <w:rsid w:val="006F77A8"/>
    <w:rsid w:val="00702EEA"/>
    <w:rsid w:val="00713BE9"/>
    <w:rsid w:val="00716E33"/>
    <w:rsid w:val="00717437"/>
    <w:rsid w:val="0073111F"/>
    <w:rsid w:val="00743EB2"/>
    <w:rsid w:val="00744B43"/>
    <w:rsid w:val="00753741"/>
    <w:rsid w:val="00753999"/>
    <w:rsid w:val="00753C26"/>
    <w:rsid w:val="00766A1E"/>
    <w:rsid w:val="007679DB"/>
    <w:rsid w:val="007763F1"/>
    <w:rsid w:val="007770C9"/>
    <w:rsid w:val="00781267"/>
    <w:rsid w:val="007826CD"/>
    <w:rsid w:val="00794098"/>
    <w:rsid w:val="007B31E2"/>
    <w:rsid w:val="007B5413"/>
    <w:rsid w:val="007C3D76"/>
    <w:rsid w:val="00812EFC"/>
    <w:rsid w:val="00814F30"/>
    <w:rsid w:val="0082788A"/>
    <w:rsid w:val="0083387D"/>
    <w:rsid w:val="008417F5"/>
    <w:rsid w:val="00847A93"/>
    <w:rsid w:val="008518F5"/>
    <w:rsid w:val="008558C4"/>
    <w:rsid w:val="00857B63"/>
    <w:rsid w:val="0086734B"/>
    <w:rsid w:val="00874F6A"/>
    <w:rsid w:val="00884A51"/>
    <w:rsid w:val="00884E55"/>
    <w:rsid w:val="00886214"/>
    <w:rsid w:val="008A7690"/>
    <w:rsid w:val="008B2B57"/>
    <w:rsid w:val="008B610F"/>
    <w:rsid w:val="008C2DA9"/>
    <w:rsid w:val="008D0256"/>
    <w:rsid w:val="008D58A4"/>
    <w:rsid w:val="008E1EED"/>
    <w:rsid w:val="008E4E68"/>
    <w:rsid w:val="008E69C8"/>
    <w:rsid w:val="008F4A36"/>
    <w:rsid w:val="00904B19"/>
    <w:rsid w:val="00912FA0"/>
    <w:rsid w:val="009145E8"/>
    <w:rsid w:val="00916676"/>
    <w:rsid w:val="009206AB"/>
    <w:rsid w:val="009272A7"/>
    <w:rsid w:val="00950CD9"/>
    <w:rsid w:val="00952479"/>
    <w:rsid w:val="00953F01"/>
    <w:rsid w:val="00962AEE"/>
    <w:rsid w:val="0096575A"/>
    <w:rsid w:val="00965A6D"/>
    <w:rsid w:val="00974BAA"/>
    <w:rsid w:val="009976B8"/>
    <w:rsid w:val="00997E47"/>
    <w:rsid w:val="009A0B95"/>
    <w:rsid w:val="009A54E2"/>
    <w:rsid w:val="009B0B0A"/>
    <w:rsid w:val="009B2D91"/>
    <w:rsid w:val="009C4AC8"/>
    <w:rsid w:val="009C4EC2"/>
    <w:rsid w:val="009C7C3C"/>
    <w:rsid w:val="009D1CED"/>
    <w:rsid w:val="009D2B38"/>
    <w:rsid w:val="009F456A"/>
    <w:rsid w:val="009F7A21"/>
    <w:rsid w:val="00A21BD7"/>
    <w:rsid w:val="00A23359"/>
    <w:rsid w:val="00A33A92"/>
    <w:rsid w:val="00A34C89"/>
    <w:rsid w:val="00A36E39"/>
    <w:rsid w:val="00A40265"/>
    <w:rsid w:val="00A60A1D"/>
    <w:rsid w:val="00A6289F"/>
    <w:rsid w:val="00A80315"/>
    <w:rsid w:val="00A854E9"/>
    <w:rsid w:val="00A91B89"/>
    <w:rsid w:val="00A966EA"/>
    <w:rsid w:val="00AA3ABF"/>
    <w:rsid w:val="00AB2F7E"/>
    <w:rsid w:val="00AC7FB6"/>
    <w:rsid w:val="00AD7D16"/>
    <w:rsid w:val="00AE49B5"/>
    <w:rsid w:val="00AE6718"/>
    <w:rsid w:val="00AF3F0B"/>
    <w:rsid w:val="00AF55C0"/>
    <w:rsid w:val="00B10328"/>
    <w:rsid w:val="00B1305D"/>
    <w:rsid w:val="00B27338"/>
    <w:rsid w:val="00B3736E"/>
    <w:rsid w:val="00B4652B"/>
    <w:rsid w:val="00B46C4D"/>
    <w:rsid w:val="00B51073"/>
    <w:rsid w:val="00B52BF4"/>
    <w:rsid w:val="00B569BA"/>
    <w:rsid w:val="00B61530"/>
    <w:rsid w:val="00B64C79"/>
    <w:rsid w:val="00B8147F"/>
    <w:rsid w:val="00B86C83"/>
    <w:rsid w:val="00B92A9C"/>
    <w:rsid w:val="00B9536B"/>
    <w:rsid w:val="00B97667"/>
    <w:rsid w:val="00BA3460"/>
    <w:rsid w:val="00BB0480"/>
    <w:rsid w:val="00BB7473"/>
    <w:rsid w:val="00BC7767"/>
    <w:rsid w:val="00BE38A6"/>
    <w:rsid w:val="00BE4F2A"/>
    <w:rsid w:val="00BF1569"/>
    <w:rsid w:val="00BF3C36"/>
    <w:rsid w:val="00BF5600"/>
    <w:rsid w:val="00BF67FD"/>
    <w:rsid w:val="00C01F1B"/>
    <w:rsid w:val="00C0372E"/>
    <w:rsid w:val="00C0580A"/>
    <w:rsid w:val="00C17B14"/>
    <w:rsid w:val="00C34522"/>
    <w:rsid w:val="00C36990"/>
    <w:rsid w:val="00C371B1"/>
    <w:rsid w:val="00C409AE"/>
    <w:rsid w:val="00C514E2"/>
    <w:rsid w:val="00C52C1F"/>
    <w:rsid w:val="00C61255"/>
    <w:rsid w:val="00C62CF5"/>
    <w:rsid w:val="00C63BE4"/>
    <w:rsid w:val="00C64699"/>
    <w:rsid w:val="00C716B2"/>
    <w:rsid w:val="00C823BF"/>
    <w:rsid w:val="00C83401"/>
    <w:rsid w:val="00C85359"/>
    <w:rsid w:val="00C93CC9"/>
    <w:rsid w:val="00C943F4"/>
    <w:rsid w:val="00C95EDA"/>
    <w:rsid w:val="00CA05DB"/>
    <w:rsid w:val="00CA2B78"/>
    <w:rsid w:val="00CA7249"/>
    <w:rsid w:val="00CB2B44"/>
    <w:rsid w:val="00CC0D8F"/>
    <w:rsid w:val="00CE0443"/>
    <w:rsid w:val="00CE3285"/>
    <w:rsid w:val="00CE3453"/>
    <w:rsid w:val="00CF11FD"/>
    <w:rsid w:val="00CF2CDA"/>
    <w:rsid w:val="00CF60A7"/>
    <w:rsid w:val="00D00AAA"/>
    <w:rsid w:val="00D05B5D"/>
    <w:rsid w:val="00D05E45"/>
    <w:rsid w:val="00D1771F"/>
    <w:rsid w:val="00D247BC"/>
    <w:rsid w:val="00D273A8"/>
    <w:rsid w:val="00D308C8"/>
    <w:rsid w:val="00D36240"/>
    <w:rsid w:val="00D519A9"/>
    <w:rsid w:val="00D51EDE"/>
    <w:rsid w:val="00D52FFE"/>
    <w:rsid w:val="00D921E7"/>
    <w:rsid w:val="00D94D66"/>
    <w:rsid w:val="00D9505E"/>
    <w:rsid w:val="00DA5E25"/>
    <w:rsid w:val="00DB6C27"/>
    <w:rsid w:val="00DB6F02"/>
    <w:rsid w:val="00DC475B"/>
    <w:rsid w:val="00DD64AD"/>
    <w:rsid w:val="00DE2E85"/>
    <w:rsid w:val="00DF0032"/>
    <w:rsid w:val="00DF4E3D"/>
    <w:rsid w:val="00E007E1"/>
    <w:rsid w:val="00E041A8"/>
    <w:rsid w:val="00E10D89"/>
    <w:rsid w:val="00E169AF"/>
    <w:rsid w:val="00E2165C"/>
    <w:rsid w:val="00E22FFD"/>
    <w:rsid w:val="00E3298C"/>
    <w:rsid w:val="00E37481"/>
    <w:rsid w:val="00E37539"/>
    <w:rsid w:val="00E42F69"/>
    <w:rsid w:val="00E50ECF"/>
    <w:rsid w:val="00E51679"/>
    <w:rsid w:val="00E557D6"/>
    <w:rsid w:val="00E62D88"/>
    <w:rsid w:val="00E638DA"/>
    <w:rsid w:val="00E64154"/>
    <w:rsid w:val="00E6736D"/>
    <w:rsid w:val="00E729E3"/>
    <w:rsid w:val="00E738DE"/>
    <w:rsid w:val="00E77715"/>
    <w:rsid w:val="00E8214A"/>
    <w:rsid w:val="00E83334"/>
    <w:rsid w:val="00E857E2"/>
    <w:rsid w:val="00E87265"/>
    <w:rsid w:val="00E90DDD"/>
    <w:rsid w:val="00E927D4"/>
    <w:rsid w:val="00E96A4A"/>
    <w:rsid w:val="00EB3322"/>
    <w:rsid w:val="00EB6922"/>
    <w:rsid w:val="00EC087D"/>
    <w:rsid w:val="00EC65D1"/>
    <w:rsid w:val="00EC6EC3"/>
    <w:rsid w:val="00EF0906"/>
    <w:rsid w:val="00F03966"/>
    <w:rsid w:val="00F04896"/>
    <w:rsid w:val="00F13FAB"/>
    <w:rsid w:val="00F4417D"/>
    <w:rsid w:val="00F55CF4"/>
    <w:rsid w:val="00F6314C"/>
    <w:rsid w:val="00F65AD6"/>
    <w:rsid w:val="00F714E0"/>
    <w:rsid w:val="00F739CF"/>
    <w:rsid w:val="00F77B02"/>
    <w:rsid w:val="00F835C6"/>
    <w:rsid w:val="00F84381"/>
    <w:rsid w:val="00F84F53"/>
    <w:rsid w:val="00F85688"/>
    <w:rsid w:val="00FA3376"/>
    <w:rsid w:val="00FA3A82"/>
    <w:rsid w:val="00FA5824"/>
    <w:rsid w:val="00FC0B3F"/>
    <w:rsid w:val="00FD1AD1"/>
    <w:rsid w:val="01326132"/>
    <w:rsid w:val="01820F66"/>
    <w:rsid w:val="01A55A29"/>
    <w:rsid w:val="02FA1174"/>
    <w:rsid w:val="037E2634"/>
    <w:rsid w:val="03E073D9"/>
    <w:rsid w:val="059A3455"/>
    <w:rsid w:val="05B3369D"/>
    <w:rsid w:val="06124B01"/>
    <w:rsid w:val="062A70C8"/>
    <w:rsid w:val="064B3B6C"/>
    <w:rsid w:val="072F113B"/>
    <w:rsid w:val="073E7533"/>
    <w:rsid w:val="08EF1767"/>
    <w:rsid w:val="093C526D"/>
    <w:rsid w:val="0B994B07"/>
    <w:rsid w:val="0CB00895"/>
    <w:rsid w:val="0CEE1FCD"/>
    <w:rsid w:val="0F34311D"/>
    <w:rsid w:val="10757B77"/>
    <w:rsid w:val="13A075F7"/>
    <w:rsid w:val="152807DD"/>
    <w:rsid w:val="15294484"/>
    <w:rsid w:val="15A63DAE"/>
    <w:rsid w:val="16846558"/>
    <w:rsid w:val="183406FA"/>
    <w:rsid w:val="18CC00AB"/>
    <w:rsid w:val="19403F7F"/>
    <w:rsid w:val="19E93BEB"/>
    <w:rsid w:val="1A85757D"/>
    <w:rsid w:val="1AE04F81"/>
    <w:rsid w:val="1B234800"/>
    <w:rsid w:val="1C0E00A1"/>
    <w:rsid w:val="1CA90416"/>
    <w:rsid w:val="1D583005"/>
    <w:rsid w:val="1DF17815"/>
    <w:rsid w:val="1E067DE4"/>
    <w:rsid w:val="1E3B533B"/>
    <w:rsid w:val="1F1E2363"/>
    <w:rsid w:val="1FE439C8"/>
    <w:rsid w:val="20F46C45"/>
    <w:rsid w:val="21BA4317"/>
    <w:rsid w:val="233B15C4"/>
    <w:rsid w:val="26647659"/>
    <w:rsid w:val="282A666F"/>
    <w:rsid w:val="28322F1C"/>
    <w:rsid w:val="286C2B81"/>
    <w:rsid w:val="28753D00"/>
    <w:rsid w:val="28A951FF"/>
    <w:rsid w:val="28D21C96"/>
    <w:rsid w:val="2954229D"/>
    <w:rsid w:val="2C270D76"/>
    <w:rsid w:val="2D6C65E1"/>
    <w:rsid w:val="2E817D83"/>
    <w:rsid w:val="2F4D6D60"/>
    <w:rsid w:val="302D6392"/>
    <w:rsid w:val="30417EC7"/>
    <w:rsid w:val="30CE7FB5"/>
    <w:rsid w:val="33AE0360"/>
    <w:rsid w:val="34437026"/>
    <w:rsid w:val="34B72603"/>
    <w:rsid w:val="34F00383"/>
    <w:rsid w:val="35212E75"/>
    <w:rsid w:val="352F15C7"/>
    <w:rsid w:val="353E09CF"/>
    <w:rsid w:val="36371722"/>
    <w:rsid w:val="36F15231"/>
    <w:rsid w:val="388C6910"/>
    <w:rsid w:val="38E56172"/>
    <w:rsid w:val="391A2B70"/>
    <w:rsid w:val="395B2587"/>
    <w:rsid w:val="397B094E"/>
    <w:rsid w:val="39A61F46"/>
    <w:rsid w:val="39EF79E8"/>
    <w:rsid w:val="3B113F39"/>
    <w:rsid w:val="3C141CFD"/>
    <w:rsid w:val="3D3523AF"/>
    <w:rsid w:val="3D72084E"/>
    <w:rsid w:val="3DA137B0"/>
    <w:rsid w:val="40AE456F"/>
    <w:rsid w:val="40F807F9"/>
    <w:rsid w:val="428403F8"/>
    <w:rsid w:val="43A04731"/>
    <w:rsid w:val="44487E15"/>
    <w:rsid w:val="44E46B61"/>
    <w:rsid w:val="46211AE4"/>
    <w:rsid w:val="464E0D14"/>
    <w:rsid w:val="470A25CB"/>
    <w:rsid w:val="472E2811"/>
    <w:rsid w:val="47503636"/>
    <w:rsid w:val="4782591F"/>
    <w:rsid w:val="485E4F86"/>
    <w:rsid w:val="48C14B3D"/>
    <w:rsid w:val="491F7CC5"/>
    <w:rsid w:val="49411E65"/>
    <w:rsid w:val="495F7FCF"/>
    <w:rsid w:val="49A7019C"/>
    <w:rsid w:val="4AE50A83"/>
    <w:rsid w:val="4C5705BB"/>
    <w:rsid w:val="4C62747A"/>
    <w:rsid w:val="4CC4609B"/>
    <w:rsid w:val="4DA50536"/>
    <w:rsid w:val="4DD46622"/>
    <w:rsid w:val="4DE77E79"/>
    <w:rsid w:val="4EF04C81"/>
    <w:rsid w:val="4F196698"/>
    <w:rsid w:val="4FB96A4F"/>
    <w:rsid w:val="50872167"/>
    <w:rsid w:val="518E2751"/>
    <w:rsid w:val="51FE18B6"/>
    <w:rsid w:val="527F19AC"/>
    <w:rsid w:val="53426297"/>
    <w:rsid w:val="54127C9B"/>
    <w:rsid w:val="56133AD0"/>
    <w:rsid w:val="56410301"/>
    <w:rsid w:val="58E553DF"/>
    <w:rsid w:val="599C057E"/>
    <w:rsid w:val="5A322C47"/>
    <w:rsid w:val="5B9B12B5"/>
    <w:rsid w:val="5BC111E3"/>
    <w:rsid w:val="5D9C2BE8"/>
    <w:rsid w:val="5DAD2D74"/>
    <w:rsid w:val="5E1A7ABA"/>
    <w:rsid w:val="5FA722E4"/>
    <w:rsid w:val="5FE67470"/>
    <w:rsid w:val="60EA32D4"/>
    <w:rsid w:val="612172DC"/>
    <w:rsid w:val="62774DCF"/>
    <w:rsid w:val="62C914DE"/>
    <w:rsid w:val="66D65892"/>
    <w:rsid w:val="67581E9E"/>
    <w:rsid w:val="67BE47E9"/>
    <w:rsid w:val="6A0629C8"/>
    <w:rsid w:val="6A343BA9"/>
    <w:rsid w:val="6A3A005A"/>
    <w:rsid w:val="6A7540DE"/>
    <w:rsid w:val="6C3D5B8C"/>
    <w:rsid w:val="6D8B6DD7"/>
    <w:rsid w:val="6E586687"/>
    <w:rsid w:val="70B26FD0"/>
    <w:rsid w:val="71533FBF"/>
    <w:rsid w:val="71752642"/>
    <w:rsid w:val="71AA70AF"/>
    <w:rsid w:val="73483415"/>
    <w:rsid w:val="73A04554"/>
    <w:rsid w:val="73B70BDD"/>
    <w:rsid w:val="74B05D4F"/>
    <w:rsid w:val="755327E3"/>
    <w:rsid w:val="75BE4753"/>
    <w:rsid w:val="77331D73"/>
    <w:rsid w:val="780B0E84"/>
    <w:rsid w:val="78452134"/>
    <w:rsid w:val="790D47AD"/>
    <w:rsid w:val="797971EB"/>
    <w:rsid w:val="7A903EE8"/>
    <w:rsid w:val="7AE94EC2"/>
    <w:rsid w:val="7B0A0145"/>
    <w:rsid w:val="7BBD14BC"/>
    <w:rsid w:val="7C2C541F"/>
    <w:rsid w:val="7C894692"/>
    <w:rsid w:val="7CDF24CB"/>
    <w:rsid w:val="7DD671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customStyle="1" w:styleId="11">
    <w:name w:val="段"/>
    <w:link w:val="1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Cs w:val="21"/>
      <w:lang w:val="en-US" w:eastAsia="zh-CN" w:bidi="ar-SA"/>
    </w:rPr>
  </w:style>
  <w:style w:type="character" w:customStyle="1" w:styleId="12">
    <w:name w:val="段 Char"/>
    <w:link w:val="11"/>
    <w:qFormat/>
    <w:locked/>
    <w:uiPriority w:val="0"/>
    <w:rPr>
      <w:rFonts w:ascii="宋体" w:hAnsi="Times New Roman" w:eastAsia="宋体" w:cs="Times New Roman"/>
      <w:kern w:val="0"/>
      <w:sz w:val="20"/>
      <w:szCs w:val="21"/>
    </w:rPr>
  </w:style>
  <w:style w:type="paragraph" w:styleId="13">
    <w:name w:val="List Paragraph"/>
    <w:basedOn w:val="1"/>
    <w:link w:val="15"/>
    <w:qFormat/>
    <w:uiPriority w:val="99"/>
    <w:pPr>
      <w:ind w:firstLine="420" w:firstLineChars="200"/>
    </w:pPr>
  </w:style>
  <w:style w:type="character" w:customStyle="1" w:styleId="14">
    <w:name w:val="批注框文本 Char"/>
    <w:basedOn w:val="8"/>
    <w:link w:val="2"/>
    <w:semiHidden/>
    <w:qFormat/>
    <w:uiPriority w:val="99"/>
    <w:rPr>
      <w:rFonts w:ascii="Times New Roman" w:hAnsi="Times New Roman" w:eastAsia="宋体" w:cs="Times New Roman"/>
      <w:sz w:val="18"/>
      <w:szCs w:val="18"/>
    </w:rPr>
  </w:style>
  <w:style w:type="character" w:customStyle="1" w:styleId="15">
    <w:name w:val="列出段落 Char"/>
    <w:basedOn w:val="8"/>
    <w:link w:val="13"/>
    <w:qFormat/>
    <w:locked/>
    <w:uiPriority w:val="99"/>
    <w:rPr>
      <w:rFonts w:ascii="Times New Roman" w:hAnsi="Times New Roman" w:eastAsia="宋体" w:cs="Times New Roman"/>
      <w:szCs w:val="21"/>
    </w:rPr>
  </w:style>
  <w:style w:type="character" w:customStyle="1" w:styleId="16">
    <w:name w:val="high-light-bg4"/>
    <w:basedOn w:val="8"/>
    <w:qFormat/>
    <w:uiPriority w:val="0"/>
  </w:style>
  <w:style w:type="character" w:customStyle="1" w:styleId="17">
    <w:name w:val="ordinary-span-edit2"/>
    <w:basedOn w:val="8"/>
    <w:qFormat/>
    <w:uiPriority w:val="0"/>
  </w:style>
  <w:style w:type="character" w:customStyle="1" w:styleId="18">
    <w:name w:val="apple-converted-space"/>
    <w:basedOn w:val="8"/>
    <w:qFormat/>
    <w:uiPriority w:val="0"/>
  </w:style>
  <w:style w:type="paragraph" w:customStyle="1" w:styleId="19">
    <w:name w:val="一级条标题"/>
    <w:next w:val="11"/>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0">
    <w:name w:val="章标题"/>
    <w:next w:val="11"/>
    <w:link w:val="25"/>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1">
    <w:name w:val="二级条标题"/>
    <w:basedOn w:val="19"/>
    <w:next w:val="11"/>
    <w:qFormat/>
    <w:uiPriority w:val="0"/>
    <w:pPr>
      <w:numPr>
        <w:ilvl w:val="2"/>
      </w:numPr>
      <w:spacing w:before="50" w:after="50"/>
      <w:outlineLvl w:val="3"/>
    </w:pPr>
  </w:style>
  <w:style w:type="paragraph" w:customStyle="1" w:styleId="22">
    <w:name w:val="三级条标题"/>
    <w:basedOn w:val="21"/>
    <w:next w:val="11"/>
    <w:qFormat/>
    <w:uiPriority w:val="0"/>
    <w:pPr>
      <w:numPr>
        <w:ilvl w:val="3"/>
      </w:numPr>
      <w:outlineLvl w:val="4"/>
    </w:pPr>
  </w:style>
  <w:style w:type="paragraph" w:customStyle="1" w:styleId="23">
    <w:name w:val="四级条标题"/>
    <w:basedOn w:val="22"/>
    <w:next w:val="11"/>
    <w:qFormat/>
    <w:uiPriority w:val="0"/>
    <w:pPr>
      <w:numPr>
        <w:ilvl w:val="4"/>
      </w:numPr>
      <w:outlineLvl w:val="5"/>
    </w:pPr>
  </w:style>
  <w:style w:type="paragraph" w:customStyle="1" w:styleId="24">
    <w:name w:val="五级条标题"/>
    <w:basedOn w:val="23"/>
    <w:next w:val="11"/>
    <w:qFormat/>
    <w:uiPriority w:val="0"/>
    <w:pPr>
      <w:numPr>
        <w:ilvl w:val="5"/>
      </w:numPr>
      <w:outlineLvl w:val="6"/>
    </w:pPr>
  </w:style>
  <w:style w:type="character" w:customStyle="1" w:styleId="25">
    <w:name w:val="章标题 Char"/>
    <w:link w:val="20"/>
    <w:qFormat/>
    <w:uiPriority w:val="0"/>
    <w:rPr>
      <w:rFonts w:ascii="黑体" w:hAnsi="Times New Roman" w:eastAsia="黑体" w:cs="Times New Roman"/>
      <w:kern w:val="0"/>
      <w:szCs w:val="20"/>
    </w:rPr>
  </w:style>
  <w:style w:type="paragraph" w:customStyle="1" w:styleId="2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7">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D9D8DB-0251-4BA4-BEC8-864A69F4FDE4}">
  <ds:schemaRefs/>
</ds:datastoreItem>
</file>

<file path=docProps/app.xml><?xml version="1.0" encoding="utf-8"?>
<Properties xmlns="http://schemas.openxmlformats.org/officeDocument/2006/extended-properties" xmlns:vt="http://schemas.openxmlformats.org/officeDocument/2006/docPropsVTypes">
  <Template>Normal</Template>
  <Pages>6</Pages>
  <Words>434</Words>
  <Characters>2479</Characters>
  <Lines>20</Lines>
  <Paragraphs>5</Paragraphs>
  <TotalTime>8</TotalTime>
  <ScaleCrop>false</ScaleCrop>
  <LinksUpToDate>false</LinksUpToDate>
  <CharactersWithSpaces>2908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2017-04-25T01:16:00Z</dcterms:created>
  <dc:creator>jyj</dc:creator>
  <cp:lastModifiedBy>jyj</cp:lastModifiedBy>
  <cp:lastPrinted>2018-05-26T10:35:00Z</cp:lastPrinted>
  <dcterms:modified xsi:type="dcterms:W3CDTF">2019-03-29T05:54:52Z</dcterms:modified>
  <cp:revision>902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