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b/>
          <w:color w:val="000000"/>
          <w:sz w:val="32"/>
        </w:rPr>
        <w:t>《人造革与合成革工业绿色园区评价</w:t>
      </w:r>
      <w:r>
        <w:rPr>
          <w:rFonts w:hint="eastAsia"/>
          <w:b/>
          <w:color w:val="000000"/>
          <w:sz w:val="32"/>
          <w:lang w:eastAsia="zh-CN"/>
        </w:rPr>
        <w:t>要求</w:t>
      </w:r>
      <w:r>
        <w:rPr>
          <w:b/>
          <w:sz w:val="32"/>
        </w:rPr>
        <w:t>》</w:t>
      </w:r>
    </w:p>
    <w:p>
      <w:pPr>
        <w:jc w:val="center"/>
        <w:rPr>
          <w:b/>
          <w:color w:val="000000"/>
          <w:sz w:val="32"/>
        </w:rPr>
      </w:pPr>
      <w:r>
        <w:rPr>
          <w:rFonts w:hint="eastAsia"/>
          <w:b/>
          <w:color w:val="000000"/>
          <w:sz w:val="32"/>
        </w:rPr>
        <w:t>行业</w:t>
      </w:r>
      <w:r>
        <w:rPr>
          <w:b/>
          <w:color w:val="000000"/>
          <w:sz w:val="32"/>
        </w:rPr>
        <w:t>标准编制说明</w:t>
      </w:r>
    </w:p>
    <w:p>
      <w:pPr>
        <w:pStyle w:val="11"/>
        <w:spacing w:before="156" w:beforeLines="50" w:after="156" w:afterLines="50" w:line="440" w:lineRule="exact"/>
        <w:ind w:firstLine="0"/>
        <w:outlineLvl w:val="0"/>
        <w:rPr>
          <w:rFonts w:ascii="Times New Roman" w:eastAsia="宋体"/>
          <w:b/>
          <w:kern w:val="0"/>
          <w:sz w:val="24"/>
          <w:szCs w:val="24"/>
        </w:rPr>
      </w:pPr>
      <w:bookmarkStart w:id="0" w:name="_Toc23770157"/>
      <w:r>
        <w:rPr>
          <w:rFonts w:hint="eastAsia" w:ascii="Times New Roman" w:eastAsia="宋体"/>
          <w:b/>
          <w:kern w:val="0"/>
          <w:sz w:val="24"/>
          <w:szCs w:val="24"/>
        </w:rPr>
        <w:t>一、工作简况</w:t>
      </w:r>
      <w:bookmarkEnd w:id="0"/>
    </w:p>
    <w:p>
      <w:pPr>
        <w:pStyle w:val="3"/>
        <w:rPr>
          <w:rFonts w:ascii="Times New Roman" w:hAnsi="Times New Roman"/>
          <w:color w:val="000000"/>
          <w:kern w:val="0"/>
          <w:sz w:val="24"/>
          <w:szCs w:val="24"/>
        </w:rPr>
      </w:pPr>
      <w:bookmarkStart w:id="1" w:name="_Toc23770158"/>
      <w:r>
        <w:rPr>
          <w:rFonts w:ascii="Times New Roman" w:hAnsi="Times New Roman"/>
          <w:color w:val="000000"/>
          <w:kern w:val="0"/>
          <w:sz w:val="24"/>
          <w:szCs w:val="24"/>
        </w:rPr>
        <w:t>1</w:t>
      </w:r>
      <w:r>
        <w:rPr>
          <w:rFonts w:hint="eastAsia" w:ascii="Times New Roman" w:hAnsi="Times New Roman"/>
          <w:color w:val="000000"/>
          <w:kern w:val="0"/>
          <w:sz w:val="24"/>
          <w:szCs w:val="24"/>
        </w:rPr>
        <w:t>、</w:t>
      </w:r>
      <w:r>
        <w:rPr>
          <w:rFonts w:ascii="Times New Roman" w:hAnsi="Times New Roman"/>
          <w:color w:val="000000"/>
          <w:kern w:val="0"/>
          <w:sz w:val="24"/>
          <w:szCs w:val="24"/>
        </w:rPr>
        <w:t>任务来源</w:t>
      </w:r>
      <w:bookmarkEnd w:id="1"/>
    </w:p>
    <w:p>
      <w:pPr>
        <w:widowControl/>
        <w:spacing w:line="440" w:lineRule="exact"/>
        <w:ind w:firstLine="480" w:firstLineChars="200"/>
        <w:jc w:val="left"/>
        <w:rPr>
          <w:kern w:val="0"/>
          <w:sz w:val="24"/>
          <w:highlight w:val="none"/>
        </w:rPr>
      </w:pPr>
      <w:r>
        <w:rPr>
          <w:sz w:val="24"/>
          <w:highlight w:val="none"/>
        </w:rPr>
        <w:t>根据工业和信息化部办公厅《关于印发2019年第</w:t>
      </w:r>
      <w:r>
        <w:rPr>
          <w:rFonts w:hint="eastAsia"/>
          <w:sz w:val="24"/>
          <w:highlight w:val="none"/>
          <w:lang w:eastAsia="zh-CN"/>
        </w:rPr>
        <w:t>四</w:t>
      </w:r>
      <w:r>
        <w:rPr>
          <w:sz w:val="24"/>
          <w:highlight w:val="none"/>
        </w:rPr>
        <w:t>批行业标准制修订和外文版项目计划的通知》（工信厅科函（</w:t>
      </w:r>
      <w:bookmarkStart w:id="24" w:name="_GoBack"/>
      <w:bookmarkEnd w:id="24"/>
      <w:r>
        <w:rPr>
          <w:sz w:val="24"/>
          <w:highlight w:val="none"/>
        </w:rPr>
        <w:t>2019）</w:t>
      </w:r>
      <w:r>
        <w:rPr>
          <w:rFonts w:hint="eastAsia"/>
          <w:sz w:val="24"/>
          <w:highlight w:val="none"/>
          <w:lang w:val="en-US" w:eastAsia="zh-CN"/>
        </w:rPr>
        <w:t>276</w:t>
      </w:r>
      <w:r>
        <w:rPr>
          <w:sz w:val="24"/>
          <w:highlight w:val="none"/>
        </w:rPr>
        <w:t>号），</w:t>
      </w:r>
      <w:r>
        <w:rPr>
          <w:rFonts w:hint="eastAsia"/>
          <w:sz w:val="24"/>
          <w:highlight w:val="none"/>
        </w:rPr>
        <w:t>计划编</w:t>
      </w:r>
      <w:r>
        <w:rPr>
          <w:sz w:val="24"/>
          <w:highlight w:val="none"/>
        </w:rPr>
        <w:t>号</w:t>
      </w:r>
      <w:r>
        <w:rPr>
          <w:rFonts w:hint="eastAsia"/>
          <w:sz w:val="24"/>
          <w:highlight w:val="none"/>
          <w:lang w:val="en-US" w:eastAsia="zh-CN"/>
        </w:rPr>
        <w:t>2019-1592T-QB</w:t>
      </w:r>
      <w:r>
        <w:rPr>
          <w:rFonts w:hint="eastAsia"/>
          <w:sz w:val="24"/>
          <w:highlight w:val="none"/>
        </w:rPr>
        <w:t>，项目名称“</w:t>
      </w:r>
      <w:r>
        <w:rPr>
          <w:sz w:val="24"/>
          <w:highlight w:val="none"/>
        </w:rPr>
        <w:t>人造革与合成革工业</w:t>
      </w:r>
      <w:r>
        <w:rPr>
          <w:rFonts w:hint="eastAsia"/>
          <w:sz w:val="24"/>
          <w:highlight w:val="none"/>
        </w:rPr>
        <w:t>绿色园区评价</w:t>
      </w:r>
      <w:r>
        <w:rPr>
          <w:rFonts w:hint="eastAsia"/>
          <w:sz w:val="24"/>
          <w:highlight w:val="none"/>
          <w:lang w:eastAsia="zh-CN"/>
        </w:rPr>
        <w:t>要求</w:t>
      </w:r>
      <w:r>
        <w:rPr>
          <w:rFonts w:hint="eastAsia"/>
          <w:sz w:val="24"/>
          <w:highlight w:val="none"/>
        </w:rPr>
        <w:t>”进行制定</w:t>
      </w:r>
      <w:r>
        <w:rPr>
          <w:sz w:val="24"/>
          <w:highlight w:val="none"/>
        </w:rPr>
        <w:t>，</w:t>
      </w:r>
      <w:r>
        <w:rPr>
          <w:rFonts w:hint="eastAsia"/>
          <w:kern w:val="0"/>
          <w:sz w:val="24"/>
          <w:highlight w:val="none"/>
        </w:rPr>
        <w:t>主要起草单位：</w:t>
      </w:r>
      <w:r>
        <w:rPr>
          <w:kern w:val="0"/>
          <w:sz w:val="24"/>
          <w:highlight w:val="none"/>
        </w:rPr>
        <w:t>福建华夏合成革有限公司</w:t>
      </w:r>
      <w:r>
        <w:rPr>
          <w:rFonts w:hint="eastAsia"/>
          <w:kern w:val="0"/>
          <w:sz w:val="24"/>
          <w:highlight w:val="none"/>
        </w:rPr>
        <w:t>，计划</w:t>
      </w:r>
      <w:r>
        <w:rPr>
          <w:sz w:val="24"/>
          <w:highlight w:val="none"/>
        </w:rPr>
        <w:t>完成时限为20</w:t>
      </w:r>
      <w:r>
        <w:rPr>
          <w:rFonts w:hint="eastAsia"/>
          <w:sz w:val="24"/>
          <w:highlight w:val="none"/>
        </w:rPr>
        <w:t>21</w:t>
      </w:r>
      <w:r>
        <w:rPr>
          <w:sz w:val="24"/>
          <w:highlight w:val="none"/>
        </w:rPr>
        <w:t>年</w:t>
      </w:r>
      <w:r>
        <w:rPr>
          <w:rFonts w:hint="eastAsia"/>
          <w:sz w:val="24"/>
          <w:highlight w:val="none"/>
        </w:rPr>
        <w:t>。</w:t>
      </w:r>
    </w:p>
    <w:p>
      <w:pPr>
        <w:pStyle w:val="3"/>
        <w:rPr>
          <w:rFonts w:ascii="Times New Roman" w:hAnsi="Times New Roman"/>
          <w:color w:val="000000"/>
          <w:kern w:val="0"/>
          <w:sz w:val="24"/>
          <w:szCs w:val="24"/>
        </w:rPr>
      </w:pPr>
      <w:bookmarkStart w:id="2" w:name="_Toc23770159"/>
      <w:r>
        <w:rPr>
          <w:rFonts w:hint="eastAsia" w:ascii="Times New Roman" w:hAnsi="Times New Roman"/>
          <w:color w:val="000000"/>
          <w:kern w:val="0"/>
          <w:sz w:val="24"/>
          <w:szCs w:val="24"/>
        </w:rPr>
        <w:t>2、</w:t>
      </w:r>
      <w:r>
        <w:rPr>
          <w:rFonts w:ascii="Times New Roman" w:hAnsi="Times New Roman"/>
          <w:color w:val="000000"/>
          <w:kern w:val="0"/>
          <w:sz w:val="24"/>
          <w:szCs w:val="24"/>
        </w:rPr>
        <w:t>主要工作过程</w:t>
      </w:r>
      <w:bookmarkEnd w:id="2"/>
    </w:p>
    <w:p>
      <w:pPr>
        <w:spacing w:line="360" w:lineRule="auto"/>
        <w:rPr>
          <w:kern w:val="0"/>
          <w:sz w:val="24"/>
        </w:rPr>
      </w:pPr>
      <w:r>
        <w:rPr>
          <w:rFonts w:hint="eastAsia"/>
          <w:kern w:val="0"/>
          <w:sz w:val="24"/>
        </w:rPr>
        <w:t>（1）</w:t>
      </w:r>
      <w:r>
        <w:rPr>
          <w:kern w:val="0"/>
          <w:sz w:val="24"/>
        </w:rPr>
        <w:t>标准起草阶段</w:t>
      </w:r>
    </w:p>
    <w:p>
      <w:pPr>
        <w:spacing w:line="440" w:lineRule="exact"/>
        <w:ind w:firstLine="480" w:firstLineChars="200"/>
        <w:rPr>
          <w:kern w:val="0"/>
          <w:sz w:val="24"/>
        </w:rPr>
      </w:pPr>
      <w:r>
        <w:rPr>
          <w:rFonts w:hint="eastAsia"/>
          <w:kern w:val="0"/>
          <w:sz w:val="24"/>
        </w:rPr>
        <w:t>计划下达后，根据中国轻工业联合会工作安排，2019年9月21日在成都市四川大学皮革楼召开了本标准的制定工作启动会，</w:t>
      </w:r>
      <w:r>
        <w:rPr>
          <w:kern w:val="0"/>
          <w:sz w:val="24"/>
        </w:rPr>
        <w:t>成立了由福建华夏合成革有限公司、轻工业环境保护研究所等参加</w:t>
      </w:r>
      <w:r>
        <w:rPr>
          <w:sz w:val="24"/>
        </w:rPr>
        <w:t>的</w:t>
      </w:r>
      <w:r>
        <w:rPr>
          <w:kern w:val="0"/>
          <w:sz w:val="24"/>
        </w:rPr>
        <w:t>《人造革与合成革工业</w:t>
      </w:r>
      <w:r>
        <w:rPr>
          <w:rFonts w:hint="eastAsia"/>
          <w:kern w:val="0"/>
          <w:sz w:val="24"/>
        </w:rPr>
        <w:t xml:space="preserve"> </w:t>
      </w:r>
      <w:r>
        <w:rPr>
          <w:kern w:val="0"/>
          <w:sz w:val="24"/>
        </w:rPr>
        <w:t>绿色</w:t>
      </w:r>
      <w:r>
        <w:rPr>
          <w:rFonts w:hint="eastAsia"/>
          <w:kern w:val="0"/>
          <w:sz w:val="24"/>
        </w:rPr>
        <w:t>园区评价</w:t>
      </w:r>
      <w:r>
        <w:rPr>
          <w:rFonts w:hint="eastAsia"/>
          <w:kern w:val="0"/>
          <w:sz w:val="24"/>
          <w:lang w:eastAsia="zh-CN"/>
        </w:rPr>
        <w:t>要求</w:t>
      </w:r>
      <w:r>
        <w:rPr>
          <w:kern w:val="0"/>
          <w:sz w:val="24"/>
        </w:rPr>
        <w:t>》</w:t>
      </w:r>
      <w:r>
        <w:rPr>
          <w:rFonts w:hint="eastAsia"/>
          <w:kern w:val="0"/>
          <w:sz w:val="24"/>
        </w:rPr>
        <w:t>行业</w:t>
      </w:r>
      <w:r>
        <w:rPr>
          <w:kern w:val="0"/>
          <w:sz w:val="24"/>
        </w:rPr>
        <w:t>标准制定工作组。</w:t>
      </w:r>
      <w:r>
        <w:rPr>
          <w:rFonts w:hint="eastAsia"/>
          <w:kern w:val="0"/>
          <w:sz w:val="24"/>
        </w:rPr>
        <w:t>会议上对标准起草工作的计划、进度及分工协作等进行了安排。同时，与会代表对标准征求意见讨论稿进行了深入讨论，提出多项修改意见和建议。</w:t>
      </w:r>
    </w:p>
    <w:p>
      <w:pPr>
        <w:spacing w:line="440" w:lineRule="exact"/>
        <w:ind w:firstLine="480" w:firstLineChars="200"/>
        <w:rPr>
          <w:rFonts w:hint="eastAsia"/>
          <w:kern w:val="0"/>
          <w:sz w:val="24"/>
        </w:rPr>
      </w:pPr>
      <w:r>
        <w:rPr>
          <w:rFonts w:hint="eastAsia"/>
          <w:kern w:val="0"/>
          <w:sz w:val="24"/>
        </w:rPr>
        <w:t>会后</w:t>
      </w:r>
      <w:r>
        <w:rPr>
          <w:kern w:val="0"/>
          <w:sz w:val="24"/>
        </w:rPr>
        <w:t>标准</w:t>
      </w:r>
      <w:r>
        <w:rPr>
          <w:rFonts w:hint="eastAsia"/>
          <w:kern w:val="0"/>
          <w:sz w:val="24"/>
        </w:rPr>
        <w:t>制定</w:t>
      </w:r>
      <w:r>
        <w:rPr>
          <w:kern w:val="0"/>
          <w:sz w:val="24"/>
        </w:rPr>
        <w:t>工作组根据工作进度安排，</w:t>
      </w:r>
      <w:r>
        <w:rPr>
          <w:rFonts w:hint="eastAsia"/>
          <w:kern w:val="0"/>
          <w:sz w:val="24"/>
        </w:rPr>
        <w:t>采取现场调研和发放调查表等方式对国内主要人造革与合成革企业工业园区进行了绿色园区建设情况方面的调研，取得了大量数据和资料，对制定本标准具有指导作用。工作组结合调研的数据及资料，根据第一次会上提出的意见和建议，</w:t>
      </w:r>
      <w:r>
        <w:rPr>
          <w:kern w:val="0"/>
          <w:sz w:val="24"/>
        </w:rPr>
        <w:t>经反复</w:t>
      </w:r>
      <w:r>
        <w:rPr>
          <w:rFonts w:hint="eastAsia"/>
          <w:kern w:val="0"/>
          <w:sz w:val="24"/>
        </w:rPr>
        <w:t>研究</w:t>
      </w:r>
      <w:r>
        <w:rPr>
          <w:kern w:val="0"/>
          <w:sz w:val="24"/>
        </w:rPr>
        <w:t>讨论确定了各项</w:t>
      </w:r>
      <w:r>
        <w:rPr>
          <w:rFonts w:hint="eastAsia"/>
          <w:kern w:val="0"/>
          <w:sz w:val="24"/>
        </w:rPr>
        <w:t>评价指标</w:t>
      </w:r>
      <w:r>
        <w:rPr>
          <w:kern w:val="0"/>
          <w:sz w:val="24"/>
        </w:rPr>
        <w:t>要求，</w:t>
      </w:r>
      <w:r>
        <w:rPr>
          <w:rFonts w:hint="eastAsia"/>
          <w:kern w:val="0"/>
          <w:sz w:val="24"/>
        </w:rPr>
        <w:t>完成了标准征求意见讨论稿及编制说明。</w:t>
      </w:r>
    </w:p>
    <w:p>
      <w:pPr>
        <w:spacing w:line="440" w:lineRule="exact"/>
        <w:ind w:firstLine="480" w:firstLineChars="200"/>
        <w:rPr>
          <w:rFonts w:hint="default" w:eastAsia="宋体"/>
          <w:kern w:val="0"/>
          <w:sz w:val="24"/>
          <w:lang w:val="en-US" w:eastAsia="zh-CN"/>
        </w:rPr>
      </w:pPr>
      <w:r>
        <w:rPr>
          <w:rFonts w:hint="eastAsia"/>
          <w:kern w:val="0"/>
          <w:sz w:val="24"/>
          <w:lang w:val="en-US" w:eastAsia="zh-CN"/>
        </w:rPr>
        <w:t>2019年11与15日在北京市轻工业环保研究所工作组召开了第二次工作会议，对标准征求意见讨论稿进行讨论，会后工作组修改完成了征求意见稿、编制说明报中国轻工业联合会综合业务部安排征求意见。</w:t>
      </w:r>
    </w:p>
    <w:p>
      <w:pPr>
        <w:numPr>
          <w:ilvl w:val="0"/>
          <w:numId w:val="3"/>
        </w:numPr>
        <w:spacing w:line="360" w:lineRule="auto"/>
        <w:rPr>
          <w:kern w:val="0"/>
          <w:sz w:val="24"/>
        </w:rPr>
      </w:pPr>
      <w:r>
        <w:rPr>
          <w:rFonts w:hint="eastAsia"/>
          <w:kern w:val="0"/>
          <w:sz w:val="24"/>
        </w:rPr>
        <w:t xml:space="preserve">征求意见阶段   </w:t>
      </w:r>
    </w:p>
    <w:p>
      <w:pPr>
        <w:spacing w:line="360" w:lineRule="auto"/>
        <w:rPr>
          <w:kern w:val="0"/>
          <w:sz w:val="24"/>
        </w:rPr>
      </w:pPr>
      <w:r>
        <w:rPr>
          <w:rFonts w:hint="eastAsia"/>
          <w:kern w:val="0"/>
          <w:sz w:val="24"/>
        </w:rPr>
        <w:t>（3）审查阶段：</w:t>
      </w:r>
    </w:p>
    <w:p>
      <w:pPr>
        <w:spacing w:line="360" w:lineRule="auto"/>
        <w:rPr>
          <w:kern w:val="0"/>
          <w:sz w:val="24"/>
        </w:rPr>
      </w:pPr>
      <w:r>
        <w:rPr>
          <w:rFonts w:hint="eastAsia"/>
          <w:kern w:val="0"/>
          <w:sz w:val="24"/>
        </w:rPr>
        <w:t>（4）报批阶段：</w:t>
      </w:r>
    </w:p>
    <w:p>
      <w:pPr>
        <w:pStyle w:val="3"/>
        <w:rPr>
          <w:rFonts w:ascii="Times New Roman" w:hAnsi="Times New Roman"/>
          <w:color w:val="000000"/>
          <w:kern w:val="0"/>
          <w:sz w:val="24"/>
          <w:szCs w:val="24"/>
        </w:rPr>
      </w:pPr>
      <w:bookmarkStart w:id="3" w:name="_Toc23770160"/>
      <w:r>
        <w:rPr>
          <w:rFonts w:hint="eastAsia" w:ascii="Times New Roman" w:hAnsi="Times New Roman"/>
          <w:color w:val="000000"/>
          <w:kern w:val="0"/>
          <w:sz w:val="24"/>
          <w:szCs w:val="24"/>
        </w:rPr>
        <w:t>3、主要参加单位和工作组成员及其所做的工作等</w:t>
      </w:r>
      <w:bookmarkEnd w:id="3"/>
    </w:p>
    <w:p>
      <w:pPr>
        <w:spacing w:line="460" w:lineRule="exact"/>
        <w:ind w:firstLine="480" w:firstLineChars="200"/>
        <w:rPr>
          <w:sz w:val="24"/>
        </w:rPr>
      </w:pPr>
      <w:r>
        <w:rPr>
          <w:sz w:val="24"/>
        </w:rPr>
        <w:t>本标准由</w:t>
      </w:r>
      <w:r>
        <w:rPr>
          <w:kern w:val="0"/>
          <w:sz w:val="24"/>
        </w:rPr>
        <w:t>福建华夏合成革有限公司</w:t>
      </w:r>
      <w:r>
        <w:rPr>
          <w:rFonts w:hint="eastAsia" w:ascii="宋体"/>
          <w:sz w:val="24"/>
        </w:rPr>
        <w:t>、轻工业环境保护研究所、福鼎市永大合成革有限公司、福建隆祥皮革有限公司、福建煜升超纤有限公司、福建正瑞泰革业有限公司、福建万丰革业有限公司</w:t>
      </w:r>
      <w:r>
        <w:rPr>
          <w:rFonts w:hint="eastAsia"/>
          <w:sz w:val="24"/>
        </w:rPr>
        <w:t>等</w:t>
      </w:r>
      <w:r>
        <w:rPr>
          <w:sz w:val="24"/>
        </w:rPr>
        <w:t>共同负责起草。</w:t>
      </w:r>
    </w:p>
    <w:p>
      <w:pPr>
        <w:spacing w:line="360" w:lineRule="auto"/>
        <w:ind w:firstLine="480" w:firstLineChars="200"/>
        <w:rPr>
          <w:sz w:val="24"/>
        </w:rPr>
      </w:pPr>
      <w:r>
        <w:rPr>
          <w:sz w:val="24"/>
        </w:rPr>
        <w:t>主要成员：</w:t>
      </w:r>
      <w:r>
        <w:rPr>
          <w:rFonts w:hint="eastAsia"/>
          <w:sz w:val="24"/>
        </w:rPr>
        <w:t xml:space="preserve">李华林、陈晨、吕竹明、王岩豪、冯宪有、张其华、郭洪瑞、陈时尧。 </w:t>
      </w:r>
    </w:p>
    <w:p>
      <w:pPr>
        <w:spacing w:line="440" w:lineRule="exact"/>
        <w:ind w:firstLine="480" w:firstLineChars="200"/>
        <w:rPr>
          <w:kern w:val="0"/>
          <w:sz w:val="24"/>
        </w:rPr>
      </w:pPr>
      <w:r>
        <w:rPr>
          <w:sz w:val="24"/>
        </w:rPr>
        <w:t>所做的工作：</w:t>
      </w:r>
      <w:r>
        <w:rPr>
          <w:rFonts w:hint="eastAsia"/>
          <w:sz w:val="24"/>
        </w:rPr>
        <w:t>李华林</w:t>
      </w:r>
      <w:r>
        <w:rPr>
          <w:sz w:val="24"/>
        </w:rPr>
        <w:t>负责起草工作组全部统筹安排，</w:t>
      </w:r>
      <w:r>
        <w:rPr>
          <w:rFonts w:hint="eastAsia"/>
          <w:sz w:val="24"/>
        </w:rPr>
        <w:t>陈晨、王岩豪、冯宪有</w:t>
      </w:r>
      <w:r>
        <w:rPr>
          <w:sz w:val="24"/>
        </w:rPr>
        <w:t>负责标准的起草和编制工作，</w:t>
      </w:r>
      <w:r>
        <w:rPr>
          <w:rFonts w:hint="eastAsia"/>
          <w:sz w:val="24"/>
        </w:rPr>
        <w:t>张其华、郭洪瑞</w:t>
      </w:r>
      <w:r>
        <w:rPr>
          <w:sz w:val="24"/>
        </w:rPr>
        <w:t>负责行业调研和</w:t>
      </w:r>
      <w:r>
        <w:rPr>
          <w:rFonts w:hint="eastAsia"/>
          <w:sz w:val="24"/>
        </w:rPr>
        <w:t>数据</w:t>
      </w:r>
      <w:r>
        <w:rPr>
          <w:sz w:val="24"/>
        </w:rPr>
        <w:t>收集，</w:t>
      </w:r>
      <w:r>
        <w:rPr>
          <w:rFonts w:hint="eastAsia"/>
          <w:sz w:val="24"/>
        </w:rPr>
        <w:t>陈时尧负责汇总行业意见和建议，吕竹明</w:t>
      </w:r>
      <w:r>
        <w:rPr>
          <w:sz w:val="24"/>
        </w:rPr>
        <w:t>负责对标准格式、语言文字的修改。</w:t>
      </w:r>
    </w:p>
    <w:p>
      <w:pPr>
        <w:pStyle w:val="11"/>
        <w:spacing w:before="156" w:beforeLines="50" w:after="156" w:afterLines="50" w:line="440" w:lineRule="exact"/>
        <w:ind w:firstLine="0"/>
        <w:outlineLvl w:val="0"/>
        <w:rPr>
          <w:rFonts w:ascii="Times New Roman" w:eastAsia="宋体"/>
          <w:b/>
          <w:kern w:val="0"/>
          <w:sz w:val="24"/>
          <w:szCs w:val="24"/>
        </w:rPr>
      </w:pPr>
      <w:bookmarkStart w:id="4" w:name="_Toc23770161"/>
      <w:r>
        <w:rPr>
          <w:rFonts w:hint="eastAsia" w:ascii="Times New Roman" w:eastAsia="宋体"/>
          <w:b/>
          <w:kern w:val="0"/>
          <w:sz w:val="24"/>
          <w:szCs w:val="24"/>
        </w:rPr>
        <w:t>二、标准编制原则和确定标准主要内容的论证</w:t>
      </w:r>
      <w:bookmarkEnd w:id="4"/>
    </w:p>
    <w:p>
      <w:pPr>
        <w:pStyle w:val="3"/>
        <w:rPr>
          <w:rFonts w:ascii="Times New Roman" w:hAnsi="Times New Roman"/>
          <w:color w:val="000000"/>
          <w:kern w:val="0"/>
          <w:sz w:val="24"/>
          <w:szCs w:val="24"/>
        </w:rPr>
      </w:pPr>
      <w:bookmarkStart w:id="5" w:name="_Toc23770162"/>
      <w:r>
        <w:rPr>
          <w:rFonts w:ascii="Times New Roman" w:hAnsi="Times New Roman"/>
          <w:color w:val="000000"/>
          <w:kern w:val="0"/>
          <w:sz w:val="24"/>
          <w:szCs w:val="24"/>
        </w:rPr>
        <w:t>1</w:t>
      </w:r>
      <w:r>
        <w:rPr>
          <w:rFonts w:hint="eastAsia" w:ascii="Times New Roman" w:hAnsi="Times New Roman"/>
          <w:color w:val="000000"/>
          <w:kern w:val="0"/>
          <w:sz w:val="24"/>
          <w:szCs w:val="24"/>
        </w:rPr>
        <w:t>、编制原则</w:t>
      </w:r>
      <w:bookmarkEnd w:id="5"/>
    </w:p>
    <w:p>
      <w:pPr>
        <w:autoSpaceDE w:val="0"/>
        <w:autoSpaceDN w:val="0"/>
        <w:adjustRightInd w:val="0"/>
        <w:spacing w:line="440" w:lineRule="exact"/>
        <w:ind w:firstLine="480" w:firstLineChars="200"/>
        <w:jc w:val="left"/>
        <w:rPr>
          <w:kern w:val="0"/>
          <w:sz w:val="24"/>
        </w:rPr>
      </w:pPr>
      <w:r>
        <w:rPr>
          <w:kern w:val="0"/>
          <w:sz w:val="24"/>
        </w:rPr>
        <w:t>为贯彻落实《中国制造2025》，</w:t>
      </w:r>
      <w:r>
        <w:rPr>
          <w:rFonts w:hint="eastAsia"/>
          <w:kern w:val="0"/>
          <w:sz w:val="24"/>
        </w:rPr>
        <w:t>《绿色制造工程实施指南（2016-2020年）》战略需求，</w:t>
      </w:r>
      <w:r>
        <w:rPr>
          <w:kern w:val="0"/>
          <w:sz w:val="24"/>
        </w:rPr>
        <w:t>全面推行绿色制造，2016年9月7日，工业和信息化部、国家标准化管理委员会组织颁布了《绿色制造标准体系建设指南》（工信部联节[2016]304号），同年9月20日，工信部发布了《工业和信息化部办公厅关于开展绿色制造体系建设的通知》（工信厅节函[2016]586号），要求到2020年，绿色制造体系初步建立，绿色制造相关标准体系和评价体系基本建成</w:t>
      </w:r>
      <w:r>
        <w:rPr>
          <w:rFonts w:hint="eastAsia"/>
          <w:kern w:val="0"/>
          <w:sz w:val="24"/>
        </w:rPr>
        <w:t>，在重点行业建立绿色园区标准</w:t>
      </w:r>
      <w:r>
        <w:rPr>
          <w:kern w:val="0"/>
          <w:sz w:val="24"/>
        </w:rPr>
        <w:t>。</w:t>
      </w:r>
    </w:p>
    <w:p>
      <w:pPr>
        <w:autoSpaceDE w:val="0"/>
        <w:autoSpaceDN w:val="0"/>
        <w:adjustRightInd w:val="0"/>
        <w:spacing w:line="440" w:lineRule="exact"/>
        <w:ind w:firstLine="480" w:firstLineChars="200"/>
        <w:jc w:val="left"/>
        <w:rPr>
          <w:kern w:val="0"/>
          <w:sz w:val="24"/>
        </w:rPr>
      </w:pPr>
      <w:r>
        <w:rPr>
          <w:rFonts w:hint="eastAsia"/>
          <w:kern w:val="0"/>
          <w:sz w:val="24"/>
        </w:rPr>
        <w:t>依据以上文件和标准要求，本标准编制过程中，主要体现如下原则：</w:t>
      </w:r>
    </w:p>
    <w:p>
      <w:pPr>
        <w:autoSpaceDE w:val="0"/>
        <w:autoSpaceDN w:val="0"/>
        <w:adjustRightInd w:val="0"/>
        <w:spacing w:line="440" w:lineRule="exact"/>
        <w:ind w:firstLine="480" w:firstLineChars="200"/>
        <w:jc w:val="left"/>
        <w:rPr>
          <w:kern w:val="0"/>
          <w:sz w:val="24"/>
        </w:rPr>
      </w:pPr>
      <w:r>
        <w:rPr>
          <w:rFonts w:hint="eastAsia"/>
          <w:kern w:val="0"/>
          <w:sz w:val="24"/>
        </w:rPr>
        <w:t>（1）引导性原则：为加快推进人造革与合成革行业的绿色制造，引导人造革与合成革工业园区向布局集聚化、结构绿色化、链接生态化方向发展，构建高效、清洁、低碳、循环的绿色制造体系。</w:t>
      </w:r>
    </w:p>
    <w:p>
      <w:pPr>
        <w:autoSpaceDE w:val="0"/>
        <w:autoSpaceDN w:val="0"/>
        <w:adjustRightInd w:val="0"/>
        <w:spacing w:line="440" w:lineRule="exact"/>
        <w:ind w:firstLine="480" w:firstLineChars="200"/>
        <w:jc w:val="left"/>
        <w:rPr>
          <w:kern w:val="0"/>
          <w:sz w:val="24"/>
        </w:rPr>
      </w:pPr>
      <w:r>
        <w:rPr>
          <w:rFonts w:hint="eastAsia"/>
          <w:kern w:val="0"/>
          <w:sz w:val="24"/>
        </w:rPr>
        <w:t>（2）协调性原则：评价通则的制定要与国家、行业和地方已有的标准化工作基础相协调，与已有的标准体系配套衔接。</w:t>
      </w:r>
    </w:p>
    <w:p>
      <w:pPr>
        <w:autoSpaceDE w:val="0"/>
        <w:autoSpaceDN w:val="0"/>
        <w:adjustRightInd w:val="0"/>
        <w:spacing w:line="440" w:lineRule="exact"/>
        <w:ind w:firstLine="480" w:firstLineChars="200"/>
        <w:jc w:val="left"/>
        <w:rPr>
          <w:kern w:val="0"/>
          <w:sz w:val="24"/>
        </w:rPr>
      </w:pPr>
      <w:r>
        <w:rPr>
          <w:rFonts w:hint="eastAsia"/>
          <w:kern w:val="0"/>
          <w:sz w:val="24"/>
        </w:rPr>
        <w:t>（3）系统性原则：系统考虑园区从规划、建设、管理、运行等全生命周期，系统考虑投入、产出等各个维度，系统考虑土地、能源、资源、基础设施、配套工程、服务平台、上下游产业链等各个环节。</w:t>
      </w:r>
    </w:p>
    <w:p>
      <w:pPr>
        <w:autoSpaceDE w:val="0"/>
        <w:autoSpaceDN w:val="0"/>
        <w:adjustRightInd w:val="0"/>
        <w:spacing w:line="440" w:lineRule="exact"/>
        <w:ind w:firstLine="480" w:firstLineChars="200"/>
        <w:jc w:val="left"/>
        <w:rPr>
          <w:kern w:val="0"/>
          <w:sz w:val="24"/>
        </w:rPr>
      </w:pPr>
      <w:r>
        <w:rPr>
          <w:rFonts w:hint="eastAsia"/>
          <w:kern w:val="0"/>
          <w:sz w:val="24"/>
        </w:rPr>
        <w:t xml:space="preserve">（4）创新性原则：按照已有的国家及地方的相关标准要求，充分结合人造革与合成革行业的特点，在评价体系中能创新的反映行业的领先水平。 </w:t>
      </w:r>
    </w:p>
    <w:p>
      <w:pPr>
        <w:pStyle w:val="3"/>
        <w:rPr>
          <w:rFonts w:ascii="Times New Roman" w:hAnsi="Times New Roman"/>
          <w:color w:val="000000"/>
          <w:kern w:val="0"/>
          <w:sz w:val="24"/>
          <w:szCs w:val="24"/>
        </w:rPr>
      </w:pPr>
      <w:bookmarkStart w:id="6" w:name="_Toc23770163"/>
      <w:r>
        <w:rPr>
          <w:rFonts w:ascii="Times New Roman" w:hAnsi="Times New Roman"/>
          <w:color w:val="000000"/>
          <w:kern w:val="0"/>
          <w:sz w:val="24"/>
          <w:szCs w:val="24"/>
        </w:rPr>
        <w:t>2</w:t>
      </w:r>
      <w:r>
        <w:rPr>
          <w:rFonts w:hint="eastAsia" w:ascii="Times New Roman" w:hAnsi="Times New Roman"/>
          <w:color w:val="000000"/>
          <w:kern w:val="0"/>
          <w:sz w:val="24"/>
          <w:szCs w:val="24"/>
        </w:rPr>
        <w:t>、主要内容</w:t>
      </w:r>
      <w:bookmarkEnd w:id="6"/>
    </w:p>
    <w:p>
      <w:pPr>
        <w:pStyle w:val="11"/>
        <w:spacing w:line="440" w:lineRule="exact"/>
        <w:ind w:firstLine="0"/>
        <w:outlineLvl w:val="2"/>
        <w:rPr>
          <w:rFonts w:ascii="Times New Roman" w:eastAsia="宋体"/>
          <w:b/>
          <w:kern w:val="0"/>
          <w:sz w:val="24"/>
          <w:szCs w:val="24"/>
        </w:rPr>
      </w:pPr>
      <w:bookmarkStart w:id="7" w:name="_Toc23770164"/>
      <w:bookmarkStart w:id="8" w:name="_Toc23770175"/>
      <w:r>
        <w:rPr>
          <w:rFonts w:hint="eastAsia" w:ascii="Times New Roman" w:eastAsia="宋体"/>
          <w:b/>
          <w:kern w:val="0"/>
          <w:sz w:val="24"/>
          <w:szCs w:val="24"/>
        </w:rPr>
        <w:t>2.1</w:t>
      </w:r>
      <w:r>
        <w:rPr>
          <w:rFonts w:ascii="Times New Roman" w:eastAsia="宋体"/>
          <w:b/>
          <w:kern w:val="0"/>
          <w:sz w:val="24"/>
          <w:szCs w:val="24"/>
        </w:rPr>
        <w:t>适用范围</w:t>
      </w:r>
      <w:bookmarkEnd w:id="7"/>
    </w:p>
    <w:p>
      <w:pPr>
        <w:autoSpaceDE w:val="0"/>
        <w:autoSpaceDN w:val="0"/>
        <w:adjustRightInd w:val="0"/>
        <w:spacing w:after="156" w:afterLines="50" w:line="440" w:lineRule="exact"/>
        <w:ind w:firstLine="480" w:firstLineChars="200"/>
        <w:jc w:val="left"/>
        <w:rPr>
          <w:kern w:val="0"/>
          <w:sz w:val="24"/>
        </w:rPr>
      </w:pPr>
      <w:bookmarkStart w:id="9" w:name="OLE_LINK1"/>
      <w:r>
        <w:rPr>
          <w:rFonts w:hint="eastAsia"/>
          <w:kern w:val="0"/>
          <w:sz w:val="24"/>
        </w:rPr>
        <w:t>本本标准规定了人造革与合成革工业绿色园区的评价要求和评价方法等内容。</w:t>
      </w:r>
    </w:p>
    <w:p>
      <w:pPr>
        <w:autoSpaceDE w:val="0"/>
        <w:autoSpaceDN w:val="0"/>
        <w:adjustRightInd w:val="0"/>
        <w:spacing w:line="440" w:lineRule="exact"/>
        <w:ind w:firstLine="480" w:firstLineChars="200"/>
        <w:jc w:val="left"/>
        <w:rPr>
          <w:kern w:val="0"/>
          <w:sz w:val="24"/>
        </w:rPr>
      </w:pPr>
      <w:r>
        <w:rPr>
          <w:rFonts w:hint="eastAsia"/>
          <w:kern w:val="0"/>
          <w:sz w:val="24"/>
        </w:rPr>
        <w:t>本标准适用于人造革与合成革行业各类国家级、省市级开发区、产业基地、城镇工业地块的建设和管理，可作为人造革与合成革工业绿色园区的评价依据，建设规划编制、建设成效评估的技术依据，也可作为其他相关工业绿色园区建设咨询活动的参考依据。</w:t>
      </w:r>
    </w:p>
    <w:bookmarkEnd w:id="9"/>
    <w:p>
      <w:pPr>
        <w:pStyle w:val="11"/>
        <w:spacing w:line="440" w:lineRule="exact"/>
        <w:ind w:firstLine="0"/>
        <w:outlineLvl w:val="2"/>
        <w:rPr>
          <w:rFonts w:ascii="Times New Roman" w:eastAsia="宋体"/>
          <w:b/>
          <w:kern w:val="0"/>
          <w:sz w:val="24"/>
          <w:szCs w:val="24"/>
        </w:rPr>
      </w:pPr>
      <w:bookmarkStart w:id="10" w:name="_Toc23770165"/>
      <w:r>
        <w:rPr>
          <w:rFonts w:hint="eastAsia" w:ascii="Times New Roman" w:eastAsia="宋体"/>
          <w:b/>
          <w:kern w:val="0"/>
          <w:sz w:val="24"/>
          <w:szCs w:val="24"/>
        </w:rPr>
        <w:t>2.2规范性引用文件</w:t>
      </w:r>
      <w:bookmarkEnd w:id="10"/>
    </w:p>
    <w:p>
      <w:pPr>
        <w:autoSpaceDE w:val="0"/>
        <w:autoSpaceDN w:val="0"/>
        <w:adjustRightInd w:val="0"/>
        <w:spacing w:line="440" w:lineRule="exact"/>
        <w:ind w:firstLine="480" w:firstLineChars="200"/>
        <w:jc w:val="left"/>
        <w:rPr>
          <w:kern w:val="0"/>
          <w:sz w:val="24"/>
        </w:rPr>
      </w:pPr>
      <w:r>
        <w:rPr>
          <w:rFonts w:hint="eastAsia"/>
          <w:kern w:val="0"/>
          <w:sz w:val="24"/>
        </w:rPr>
        <w:t>给出了本标准引用的有关文件，凡是不注日期的引用文件，其最新版本适用于本标准。引用文件主要包括相关综合能耗计算通则、环境、质量、能源及职业健康安全管理体系要求、人造革与合成革术语、绿色建筑相关评价标准、国家生态工业示范园区标准等。</w:t>
      </w:r>
    </w:p>
    <w:p>
      <w:pPr>
        <w:pStyle w:val="11"/>
        <w:spacing w:line="440" w:lineRule="exact"/>
        <w:ind w:firstLine="0"/>
        <w:outlineLvl w:val="2"/>
        <w:rPr>
          <w:rFonts w:ascii="Times New Roman" w:eastAsia="宋体"/>
          <w:b/>
          <w:kern w:val="0"/>
          <w:sz w:val="24"/>
          <w:szCs w:val="24"/>
        </w:rPr>
      </w:pPr>
      <w:bookmarkStart w:id="11" w:name="_Toc23770166"/>
      <w:r>
        <w:rPr>
          <w:rFonts w:hint="eastAsia" w:ascii="Times New Roman" w:eastAsia="宋体"/>
          <w:b/>
          <w:kern w:val="0"/>
          <w:sz w:val="24"/>
          <w:szCs w:val="24"/>
        </w:rPr>
        <w:t>2.3术语和定义</w:t>
      </w:r>
      <w:bookmarkEnd w:id="11"/>
    </w:p>
    <w:p>
      <w:pPr>
        <w:autoSpaceDE w:val="0"/>
        <w:autoSpaceDN w:val="0"/>
        <w:adjustRightInd w:val="0"/>
        <w:spacing w:line="440" w:lineRule="exact"/>
        <w:ind w:firstLine="480" w:firstLineChars="200"/>
        <w:jc w:val="left"/>
        <w:rPr>
          <w:kern w:val="0"/>
          <w:sz w:val="24"/>
        </w:rPr>
      </w:pPr>
      <w:r>
        <w:rPr>
          <w:kern w:val="0"/>
          <w:sz w:val="24"/>
        </w:rPr>
        <w:t>给出了</w:t>
      </w:r>
      <w:r>
        <w:rPr>
          <w:rFonts w:hint="eastAsia"/>
          <w:kern w:val="0"/>
          <w:sz w:val="24"/>
        </w:rPr>
        <w:t>工业绿色园区</w:t>
      </w:r>
      <w:r>
        <w:rPr>
          <w:kern w:val="0"/>
          <w:sz w:val="24"/>
        </w:rPr>
        <w:t>的定义。</w:t>
      </w:r>
    </w:p>
    <w:p>
      <w:pPr>
        <w:pStyle w:val="11"/>
        <w:spacing w:line="440" w:lineRule="exact"/>
        <w:ind w:firstLine="0"/>
        <w:outlineLvl w:val="2"/>
        <w:rPr>
          <w:rFonts w:ascii="Times New Roman" w:eastAsia="宋体"/>
          <w:b/>
          <w:kern w:val="0"/>
          <w:sz w:val="24"/>
          <w:szCs w:val="24"/>
        </w:rPr>
      </w:pPr>
      <w:bookmarkStart w:id="12" w:name="_Toc23770167"/>
      <w:r>
        <w:rPr>
          <w:rFonts w:hint="eastAsia" w:ascii="Times New Roman" w:eastAsia="宋体"/>
          <w:b/>
          <w:kern w:val="0"/>
          <w:sz w:val="24"/>
          <w:szCs w:val="24"/>
        </w:rPr>
        <w:t>2.4评价</w:t>
      </w:r>
      <w:bookmarkEnd w:id="12"/>
      <w:r>
        <w:rPr>
          <w:rFonts w:hint="eastAsia" w:ascii="Times New Roman" w:eastAsia="宋体"/>
          <w:b/>
          <w:kern w:val="0"/>
          <w:sz w:val="24"/>
          <w:szCs w:val="24"/>
        </w:rPr>
        <w:t>要求</w:t>
      </w:r>
    </w:p>
    <w:p>
      <w:pPr>
        <w:spacing w:line="360" w:lineRule="auto"/>
        <w:ind w:firstLine="480" w:firstLineChars="200"/>
        <w:rPr>
          <w:kern w:val="0"/>
          <w:sz w:val="24"/>
        </w:rPr>
      </w:pPr>
      <w:r>
        <w:rPr>
          <w:kern w:val="0"/>
          <w:sz w:val="24"/>
        </w:rPr>
        <w:t>包括基本要求</w:t>
      </w:r>
      <w:r>
        <w:rPr>
          <w:rFonts w:hint="eastAsia"/>
          <w:kern w:val="0"/>
          <w:sz w:val="24"/>
        </w:rPr>
        <w:t>和指标要求。</w:t>
      </w:r>
    </w:p>
    <w:p>
      <w:pPr>
        <w:pStyle w:val="5"/>
        <w:spacing w:before="0" w:after="0" w:line="377" w:lineRule="auto"/>
        <w:rPr>
          <w:rFonts w:ascii="Times New Roman" w:hAnsi="Times New Roman"/>
          <w:sz w:val="24"/>
        </w:rPr>
      </w:pPr>
      <w:r>
        <w:rPr>
          <w:rFonts w:hint="eastAsia" w:ascii="Times New Roman" w:hAnsi="Times New Roman"/>
          <w:sz w:val="24"/>
        </w:rPr>
        <w:t>2.4.1 基本要求</w:t>
      </w:r>
    </w:p>
    <w:p>
      <w:pPr>
        <w:autoSpaceDE w:val="0"/>
        <w:autoSpaceDN w:val="0"/>
        <w:adjustRightInd w:val="0"/>
        <w:spacing w:after="156" w:afterLines="50" w:line="440" w:lineRule="exact"/>
        <w:ind w:firstLine="480" w:firstLineChars="200"/>
        <w:jc w:val="left"/>
      </w:pPr>
      <w:r>
        <w:rPr>
          <w:rFonts w:hint="eastAsia"/>
          <w:kern w:val="0"/>
          <w:sz w:val="24"/>
        </w:rPr>
        <w:t>按照国家评定绿色园区的总体要求，本标准中评价的基本条件为：</w:t>
      </w:r>
    </w:p>
    <w:p>
      <w:pPr>
        <w:numPr>
          <w:ilvl w:val="0"/>
          <w:numId w:val="4"/>
        </w:numPr>
        <w:autoSpaceDE w:val="0"/>
        <w:autoSpaceDN w:val="0"/>
        <w:adjustRightInd w:val="0"/>
        <w:spacing w:after="156" w:afterLines="50" w:line="440" w:lineRule="exact"/>
        <w:jc w:val="left"/>
        <w:rPr>
          <w:kern w:val="0"/>
          <w:sz w:val="24"/>
        </w:rPr>
      </w:pPr>
      <w:r>
        <w:rPr>
          <w:kern w:val="0"/>
          <w:sz w:val="24"/>
        </w:rPr>
        <w:t>园区符合国家</w:t>
      </w:r>
      <w:r>
        <w:rPr>
          <w:rFonts w:hint="eastAsia"/>
          <w:kern w:val="0"/>
          <w:sz w:val="24"/>
        </w:rPr>
        <w:t>及地方</w:t>
      </w:r>
      <w:r>
        <w:rPr>
          <w:kern w:val="0"/>
          <w:sz w:val="24"/>
        </w:rPr>
        <w:t>产业发展政策，按国家和地方法律法规要求进行建设和管理；</w:t>
      </w:r>
    </w:p>
    <w:p>
      <w:pPr>
        <w:numPr>
          <w:ilvl w:val="0"/>
          <w:numId w:val="4"/>
        </w:numPr>
        <w:autoSpaceDE w:val="0"/>
        <w:autoSpaceDN w:val="0"/>
        <w:adjustRightInd w:val="0"/>
        <w:spacing w:after="156" w:afterLines="50" w:line="440" w:lineRule="exact"/>
        <w:jc w:val="left"/>
        <w:rPr>
          <w:kern w:val="0"/>
          <w:sz w:val="24"/>
        </w:rPr>
      </w:pPr>
      <w:r>
        <w:rPr>
          <w:rFonts w:hint="eastAsia"/>
          <w:kern w:val="0"/>
          <w:sz w:val="24"/>
        </w:rPr>
        <w:t>贯彻执行国家和地方有关法律、法规、制度及各项政策，完成国家或地方下达的节能减排指标，近三年内无重大环保安全责任事故</w:t>
      </w:r>
      <w:r>
        <w:rPr>
          <w:kern w:val="0"/>
          <w:sz w:val="24"/>
        </w:rPr>
        <w:t>；</w:t>
      </w:r>
    </w:p>
    <w:p>
      <w:pPr>
        <w:numPr>
          <w:ilvl w:val="0"/>
          <w:numId w:val="4"/>
        </w:numPr>
        <w:autoSpaceDE w:val="0"/>
        <w:autoSpaceDN w:val="0"/>
        <w:adjustRightInd w:val="0"/>
        <w:spacing w:after="156" w:afterLines="50" w:line="440" w:lineRule="exact"/>
        <w:jc w:val="left"/>
        <w:rPr>
          <w:kern w:val="0"/>
          <w:sz w:val="24"/>
        </w:rPr>
      </w:pPr>
      <w:r>
        <w:rPr>
          <w:kern w:val="0"/>
          <w:sz w:val="24"/>
        </w:rPr>
        <w:t>环境质量达到国家或地方规定的环境功能区环境质量标准，园区内企业污染物达标排放，各类重点污染物排放总量均不超过国家或地方的总量控制要求；</w:t>
      </w:r>
    </w:p>
    <w:p>
      <w:pPr>
        <w:numPr>
          <w:ilvl w:val="0"/>
          <w:numId w:val="4"/>
        </w:numPr>
        <w:autoSpaceDE w:val="0"/>
        <w:autoSpaceDN w:val="0"/>
        <w:adjustRightInd w:val="0"/>
        <w:spacing w:after="156" w:afterLines="50" w:line="440" w:lineRule="exact"/>
        <w:jc w:val="left"/>
        <w:rPr>
          <w:kern w:val="0"/>
          <w:sz w:val="24"/>
        </w:rPr>
      </w:pPr>
      <w:r>
        <w:rPr>
          <w:kern w:val="0"/>
          <w:sz w:val="24"/>
        </w:rPr>
        <w:t>园区产业符合国家、地方的规划要求，纳入产业结构调整企业，按计划进度完成调整；</w:t>
      </w:r>
    </w:p>
    <w:p>
      <w:pPr>
        <w:numPr>
          <w:ilvl w:val="0"/>
          <w:numId w:val="4"/>
        </w:numPr>
        <w:autoSpaceDE w:val="0"/>
        <w:autoSpaceDN w:val="0"/>
        <w:adjustRightInd w:val="0"/>
        <w:spacing w:after="156" w:afterLines="50" w:line="440" w:lineRule="exact"/>
        <w:jc w:val="left"/>
        <w:rPr>
          <w:kern w:val="0"/>
          <w:sz w:val="24"/>
        </w:rPr>
      </w:pPr>
      <w:r>
        <w:rPr>
          <w:rFonts w:hint="eastAsia"/>
          <w:kern w:val="0"/>
          <w:sz w:val="24"/>
        </w:rPr>
        <w:t>园区重点企业100%实施清洁生产审核；重点企业是指《中华人民共和国清洁生产促进法》（2012 主席令第54号）中规定的应当实施强制性清洁生产审核的企业（评审期当年及之前公布的重点企业清洁生产审核名单中的企业）</w:t>
      </w:r>
      <w:r>
        <w:rPr>
          <w:kern w:val="0"/>
          <w:sz w:val="24"/>
        </w:rPr>
        <w:t>；</w:t>
      </w:r>
    </w:p>
    <w:p>
      <w:pPr>
        <w:numPr>
          <w:ilvl w:val="0"/>
          <w:numId w:val="4"/>
        </w:numPr>
        <w:autoSpaceDE w:val="0"/>
        <w:autoSpaceDN w:val="0"/>
        <w:adjustRightInd w:val="0"/>
        <w:spacing w:after="156" w:afterLines="50" w:line="440" w:lineRule="exact"/>
        <w:jc w:val="left"/>
        <w:rPr>
          <w:kern w:val="0"/>
          <w:sz w:val="24"/>
        </w:rPr>
      </w:pPr>
      <w:r>
        <w:rPr>
          <w:kern w:val="0"/>
          <w:sz w:val="24"/>
        </w:rPr>
        <w:t>园区建立专门履行绿色发展工作职责的专门机构、建立相应统计管理制度，并配备2名以上专职人员负责推进工作</w:t>
      </w:r>
      <w:r>
        <w:rPr>
          <w:rFonts w:hint="eastAsia"/>
          <w:kern w:val="0"/>
          <w:sz w:val="24"/>
        </w:rPr>
        <w:t>；</w:t>
      </w:r>
    </w:p>
    <w:p>
      <w:pPr>
        <w:numPr>
          <w:ilvl w:val="0"/>
          <w:numId w:val="4"/>
        </w:numPr>
        <w:autoSpaceDE w:val="0"/>
        <w:autoSpaceDN w:val="0"/>
        <w:adjustRightInd w:val="0"/>
        <w:spacing w:after="156" w:afterLines="50" w:line="440" w:lineRule="exact"/>
        <w:jc w:val="left"/>
        <w:rPr>
          <w:kern w:val="0"/>
          <w:sz w:val="24"/>
        </w:rPr>
      </w:pPr>
      <w:r>
        <w:rPr>
          <w:rFonts w:hint="eastAsia"/>
          <w:kern w:val="0"/>
          <w:sz w:val="24"/>
        </w:rPr>
        <w:t>园区企业不应采用聚氯乙烯普通人造革生产线等国家列入淘汰目录的落后生产技术、工艺和设备，不应生产国家列入淘汰目录的产品。</w:t>
      </w:r>
    </w:p>
    <w:p>
      <w:pPr>
        <w:pStyle w:val="5"/>
        <w:spacing w:before="0" w:after="0" w:line="377" w:lineRule="auto"/>
        <w:rPr>
          <w:rFonts w:ascii="Times New Roman" w:hAnsi="Times New Roman"/>
          <w:sz w:val="24"/>
        </w:rPr>
      </w:pPr>
      <w:r>
        <w:rPr>
          <w:rFonts w:hint="eastAsia" w:ascii="Times New Roman" w:hAnsi="Times New Roman"/>
          <w:sz w:val="24"/>
        </w:rPr>
        <w:t>2.4.2 指标要求及设立依据</w:t>
      </w:r>
    </w:p>
    <w:p>
      <w:pPr>
        <w:spacing w:line="360" w:lineRule="auto"/>
        <w:ind w:firstLine="480" w:firstLineChars="200"/>
        <w:rPr>
          <w:kern w:val="0"/>
          <w:sz w:val="24"/>
        </w:rPr>
      </w:pPr>
      <w:r>
        <w:rPr>
          <w:rFonts w:hint="eastAsia"/>
          <w:kern w:val="0"/>
          <w:sz w:val="24"/>
        </w:rPr>
        <w:t>推动园区绿色化，要在园区规划、空间布局、产业链设计、能源利用、资源利用、基础设施、生态环境、运行管理等方面贯彻资源节约和环境友好理念，要求园区基础设施完善，土地节约集约化利用，加强基础设施共建共享和余热余压废热资源的回收利用和水资源循环利用，促进园区内企业废物资源交换利用，补全完善园区内产业的绿色链条，推进园区信息、技术服务平台建设，推动园区内企业开发绿色产品、主导产业创建绿色工厂，龙头企业建设绿色供应链等。因此，本标准</w:t>
      </w:r>
      <w:r>
        <w:rPr>
          <w:kern w:val="0"/>
          <w:sz w:val="24"/>
        </w:rPr>
        <w:t>分为</w:t>
      </w:r>
      <w:r>
        <w:rPr>
          <w:rFonts w:hint="eastAsia"/>
          <w:kern w:val="0"/>
          <w:sz w:val="24"/>
        </w:rPr>
        <w:t>土地利用指标、</w:t>
      </w:r>
      <w:r>
        <w:rPr>
          <w:kern w:val="0"/>
          <w:sz w:val="24"/>
        </w:rPr>
        <w:t>能源利用指标、资源利用指标、环境保护指标、园区管理与基础设施指标、产业绿色指标、重点工程</w:t>
      </w:r>
      <w:r>
        <w:rPr>
          <w:rFonts w:hint="eastAsia"/>
          <w:kern w:val="0"/>
          <w:sz w:val="24"/>
        </w:rPr>
        <w:t>及体系</w:t>
      </w:r>
      <w:r>
        <w:rPr>
          <w:kern w:val="0"/>
          <w:sz w:val="24"/>
        </w:rPr>
        <w:t>建设指标等</w:t>
      </w:r>
      <w:r>
        <w:rPr>
          <w:rFonts w:hint="eastAsia"/>
          <w:kern w:val="0"/>
          <w:sz w:val="24"/>
        </w:rPr>
        <w:t>七</w:t>
      </w:r>
      <w:r>
        <w:rPr>
          <w:kern w:val="0"/>
          <w:sz w:val="24"/>
        </w:rPr>
        <w:t>大类，</w:t>
      </w:r>
      <w:r>
        <w:rPr>
          <w:rFonts w:hint="eastAsia"/>
          <w:kern w:val="0"/>
          <w:sz w:val="24"/>
        </w:rPr>
        <w:t>并在土地利用指标下设立土地利用1项一级指标，在能源利用指标下设立能源消耗、能源综合利用2项一级指标，在资源利用指标下设立资源消耗和资源综合利用2项一级指标，在环境保护指标下设立污染物排放和生态环境2项一级指标，在园区</w:t>
      </w:r>
      <w:r>
        <w:rPr>
          <w:kern w:val="0"/>
          <w:sz w:val="24"/>
        </w:rPr>
        <w:t>管理与基础设施指标</w:t>
      </w:r>
      <w:r>
        <w:rPr>
          <w:rFonts w:hint="eastAsia"/>
          <w:kern w:val="0"/>
          <w:sz w:val="24"/>
        </w:rPr>
        <w:t>下设立园区管理和基础设施2项一级指标，在产业绿色指标下设立产业绿色一级指标，在重点工程及体系建设指标下设立重点工程建设和重点体系建设2项一级指标，在各个一级指标下分别设立二级指标。共计7大类、12项一级指标、40项（其中第28、29项为二选一）二级指标。</w:t>
      </w:r>
    </w:p>
    <w:p>
      <w:pPr>
        <w:autoSpaceDE w:val="0"/>
        <w:autoSpaceDN w:val="0"/>
        <w:adjustRightInd w:val="0"/>
        <w:spacing w:after="156" w:afterLines="50" w:line="440" w:lineRule="exact"/>
        <w:ind w:firstLine="480" w:firstLineChars="200"/>
        <w:jc w:val="left"/>
        <w:rPr>
          <w:kern w:val="0"/>
          <w:sz w:val="24"/>
        </w:rPr>
      </w:pPr>
      <w:r>
        <w:rPr>
          <w:kern w:val="0"/>
          <w:sz w:val="24"/>
        </w:rPr>
        <w:t>指标值的确定是标准建立的基础，本</w:t>
      </w:r>
      <w:r>
        <w:rPr>
          <w:rFonts w:hint="eastAsia"/>
          <w:kern w:val="0"/>
          <w:sz w:val="24"/>
        </w:rPr>
        <w:t>标准</w:t>
      </w:r>
      <w:r>
        <w:rPr>
          <w:kern w:val="0"/>
          <w:sz w:val="24"/>
        </w:rPr>
        <w:t>指标值的确定主要通过以下几种途径：</w:t>
      </w:r>
    </w:p>
    <w:p>
      <w:pPr>
        <w:autoSpaceDE w:val="0"/>
        <w:autoSpaceDN w:val="0"/>
        <w:adjustRightInd w:val="0"/>
        <w:spacing w:after="156" w:afterLines="50" w:line="440" w:lineRule="exact"/>
        <w:ind w:firstLine="480" w:firstLineChars="200"/>
        <w:jc w:val="left"/>
        <w:rPr>
          <w:kern w:val="0"/>
          <w:sz w:val="24"/>
        </w:rPr>
      </w:pPr>
      <w:r>
        <w:rPr>
          <w:kern w:val="0"/>
          <w:sz w:val="24"/>
        </w:rPr>
        <w:t>（1）园区调研</w:t>
      </w:r>
    </w:p>
    <w:p>
      <w:pPr>
        <w:autoSpaceDE w:val="0"/>
        <w:autoSpaceDN w:val="0"/>
        <w:adjustRightInd w:val="0"/>
        <w:spacing w:after="156" w:afterLines="50" w:line="440" w:lineRule="exact"/>
        <w:ind w:firstLine="480" w:firstLineChars="200"/>
        <w:jc w:val="left"/>
        <w:rPr>
          <w:kern w:val="0"/>
          <w:sz w:val="24"/>
        </w:rPr>
      </w:pPr>
      <w:r>
        <w:rPr>
          <w:kern w:val="0"/>
          <w:sz w:val="24"/>
        </w:rPr>
        <w:t>（2）查阅资料</w:t>
      </w:r>
    </w:p>
    <w:p>
      <w:pPr>
        <w:autoSpaceDE w:val="0"/>
        <w:autoSpaceDN w:val="0"/>
        <w:adjustRightInd w:val="0"/>
        <w:spacing w:after="156" w:afterLines="50" w:line="440" w:lineRule="exact"/>
        <w:ind w:firstLine="480" w:firstLineChars="200"/>
        <w:jc w:val="left"/>
        <w:rPr>
          <w:kern w:val="0"/>
          <w:sz w:val="24"/>
        </w:rPr>
      </w:pPr>
      <w:r>
        <w:rPr>
          <w:kern w:val="0"/>
          <w:sz w:val="24"/>
        </w:rPr>
        <w:t>（3）专家咨询</w:t>
      </w:r>
    </w:p>
    <w:p>
      <w:pPr>
        <w:spacing w:line="360" w:lineRule="auto"/>
        <w:jc w:val="center"/>
        <w:rPr>
          <w:sz w:val="24"/>
        </w:rPr>
      </w:pPr>
      <w:r>
        <w:rPr>
          <w:rFonts w:hint="eastAsia"/>
          <w:sz w:val="24"/>
        </w:rPr>
        <w:t>表1 评价指标的基准值及设立依据</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0"/>
        <w:gridCol w:w="1205"/>
        <w:gridCol w:w="3247"/>
        <w:gridCol w:w="917"/>
        <w:gridCol w:w="1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10" w:type="pct"/>
            <w:tcBorders>
              <w:bottom w:val="single" w:color="auto" w:sz="4" w:space="0"/>
            </w:tcBorders>
            <w:vAlign w:val="center"/>
          </w:tcPr>
          <w:p>
            <w:pPr>
              <w:widowControl/>
              <w:jc w:val="center"/>
              <w:rPr>
                <w:b/>
                <w:kern w:val="0"/>
                <w:szCs w:val="21"/>
              </w:rPr>
            </w:pPr>
            <w:r>
              <w:rPr>
                <w:b/>
                <w:kern w:val="0"/>
                <w:szCs w:val="21"/>
              </w:rPr>
              <w:t>指标分类</w:t>
            </w:r>
          </w:p>
        </w:tc>
        <w:tc>
          <w:tcPr>
            <w:tcW w:w="707" w:type="pct"/>
            <w:tcBorders>
              <w:bottom w:val="single" w:color="auto" w:sz="4" w:space="0"/>
            </w:tcBorders>
            <w:vAlign w:val="center"/>
          </w:tcPr>
          <w:p>
            <w:pPr>
              <w:widowControl/>
              <w:jc w:val="center"/>
              <w:rPr>
                <w:b/>
                <w:kern w:val="0"/>
                <w:szCs w:val="21"/>
              </w:rPr>
            </w:pPr>
            <w:r>
              <w:rPr>
                <w:b/>
                <w:kern w:val="0"/>
                <w:szCs w:val="21"/>
              </w:rPr>
              <w:t>一级指标</w:t>
            </w:r>
          </w:p>
        </w:tc>
        <w:tc>
          <w:tcPr>
            <w:tcW w:w="1905" w:type="pct"/>
            <w:vAlign w:val="center"/>
          </w:tcPr>
          <w:p>
            <w:pPr>
              <w:widowControl/>
              <w:jc w:val="center"/>
              <w:rPr>
                <w:b/>
                <w:kern w:val="0"/>
                <w:szCs w:val="21"/>
              </w:rPr>
            </w:pPr>
            <w:r>
              <w:rPr>
                <w:b/>
                <w:kern w:val="0"/>
                <w:szCs w:val="21"/>
              </w:rPr>
              <w:t>二级指标</w:t>
            </w:r>
          </w:p>
        </w:tc>
        <w:tc>
          <w:tcPr>
            <w:tcW w:w="538" w:type="pct"/>
            <w:vAlign w:val="center"/>
          </w:tcPr>
          <w:p>
            <w:pPr>
              <w:widowControl/>
              <w:jc w:val="center"/>
              <w:rPr>
                <w:b/>
                <w:kern w:val="0"/>
                <w:szCs w:val="21"/>
              </w:rPr>
            </w:pPr>
            <w:r>
              <w:rPr>
                <w:rFonts w:hint="eastAsia"/>
                <w:b/>
                <w:kern w:val="0"/>
                <w:szCs w:val="21"/>
              </w:rPr>
              <w:t>基准值</w:t>
            </w:r>
          </w:p>
        </w:tc>
        <w:tc>
          <w:tcPr>
            <w:tcW w:w="1139" w:type="pct"/>
            <w:vAlign w:val="center"/>
          </w:tcPr>
          <w:p>
            <w:pPr>
              <w:widowControl/>
              <w:jc w:val="center"/>
              <w:rPr>
                <w:b/>
                <w:kern w:val="0"/>
                <w:szCs w:val="21"/>
              </w:rPr>
            </w:pPr>
            <w:r>
              <w:rPr>
                <w:rFonts w:hint="eastAsia"/>
                <w:b/>
                <w:kern w:val="0"/>
                <w:szCs w:val="21"/>
              </w:rPr>
              <w:t>设立依据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single" w:color="auto" w:sz="4" w:space="0"/>
              <w:bottom w:val="double" w:color="auto" w:sz="4" w:space="0"/>
            </w:tcBorders>
            <w:vAlign w:val="center"/>
          </w:tcPr>
          <w:p>
            <w:pPr>
              <w:widowControl/>
              <w:jc w:val="center"/>
              <w:rPr>
                <w:b/>
                <w:kern w:val="0"/>
                <w:szCs w:val="21"/>
              </w:rPr>
            </w:pPr>
            <w:r>
              <w:rPr>
                <w:rFonts w:hint="eastAsia"/>
                <w:b/>
                <w:kern w:val="0"/>
                <w:szCs w:val="21"/>
              </w:rPr>
              <w:t>土地利用指标</w:t>
            </w:r>
          </w:p>
        </w:tc>
        <w:tc>
          <w:tcPr>
            <w:tcW w:w="707" w:type="pct"/>
            <w:vMerge w:val="restart"/>
            <w:tcBorders>
              <w:top w:val="single" w:color="auto" w:sz="4" w:space="0"/>
              <w:bottom w:val="double" w:color="auto" w:sz="4" w:space="0"/>
            </w:tcBorders>
            <w:vAlign w:val="center"/>
          </w:tcPr>
          <w:p>
            <w:pPr>
              <w:widowControl/>
              <w:jc w:val="center"/>
              <w:rPr>
                <w:kern w:val="0"/>
                <w:szCs w:val="21"/>
              </w:rPr>
            </w:pPr>
            <w:r>
              <w:rPr>
                <w:rFonts w:hint="eastAsia"/>
                <w:kern w:val="0"/>
                <w:szCs w:val="21"/>
              </w:rPr>
              <w:t>土地利用</w:t>
            </w:r>
          </w:p>
        </w:tc>
        <w:tc>
          <w:tcPr>
            <w:tcW w:w="1905" w:type="pct"/>
            <w:tcBorders>
              <w:bottom w:val="single" w:color="auto" w:sz="6" w:space="0"/>
            </w:tcBorders>
            <w:vAlign w:val="center"/>
          </w:tcPr>
          <w:p>
            <w:pPr>
              <w:widowControl/>
              <w:jc w:val="left"/>
              <w:rPr>
                <w:kern w:val="0"/>
                <w:szCs w:val="21"/>
              </w:rPr>
            </w:pPr>
            <w:r>
              <w:rPr>
                <w:rFonts w:hint="eastAsia"/>
                <w:kern w:val="0"/>
                <w:szCs w:val="21"/>
              </w:rPr>
              <w:t>1.综合容积率</w:t>
            </w:r>
          </w:p>
        </w:tc>
        <w:tc>
          <w:tcPr>
            <w:tcW w:w="538" w:type="pct"/>
            <w:tcBorders>
              <w:bottom w:val="single" w:color="auto" w:sz="6" w:space="0"/>
            </w:tcBorders>
            <w:vAlign w:val="center"/>
          </w:tcPr>
          <w:p>
            <w:pPr>
              <w:widowControl/>
              <w:jc w:val="center"/>
              <w:rPr>
                <w:kern w:val="0"/>
                <w:szCs w:val="21"/>
              </w:rPr>
            </w:pPr>
            <w:r>
              <w:rPr>
                <w:rFonts w:hint="eastAsia"/>
                <w:kern w:val="0"/>
                <w:szCs w:val="21"/>
              </w:rPr>
              <w:t>1</w:t>
            </w:r>
          </w:p>
        </w:tc>
        <w:tc>
          <w:tcPr>
            <w:tcW w:w="1139" w:type="pct"/>
            <w:tcBorders>
              <w:bottom w:val="single" w:color="auto" w:sz="6" w:space="0"/>
            </w:tcBorders>
            <w:vAlign w:val="center"/>
          </w:tcPr>
          <w:p>
            <w:pPr>
              <w:widowControl/>
              <w:jc w:val="center"/>
              <w:rPr>
                <w:kern w:val="0"/>
                <w:szCs w:val="21"/>
              </w:rPr>
            </w:pPr>
            <w:r>
              <w:rPr>
                <w:rFonts w:hint="eastAsia"/>
                <w:kern w:val="0"/>
                <w:szCs w:val="21"/>
              </w:rPr>
              <w:t>上海市《绿色产业园区评价导则》、调研数据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top w:val="single" w:color="auto" w:sz="6" w:space="0"/>
              <w:bottom w:val="double" w:color="auto" w:sz="4" w:space="0"/>
            </w:tcBorders>
            <w:vAlign w:val="center"/>
          </w:tcPr>
          <w:p>
            <w:pPr>
              <w:widowControl/>
              <w:jc w:val="left"/>
              <w:rPr>
                <w:b/>
                <w:kern w:val="0"/>
                <w:szCs w:val="21"/>
              </w:rPr>
            </w:pPr>
          </w:p>
        </w:tc>
        <w:tc>
          <w:tcPr>
            <w:tcW w:w="707" w:type="pct"/>
            <w:vMerge w:val="continue"/>
            <w:tcBorders>
              <w:top w:val="single" w:color="auto" w:sz="6" w:space="0"/>
              <w:bottom w:val="double" w:color="auto" w:sz="4" w:space="0"/>
            </w:tcBorders>
            <w:vAlign w:val="center"/>
          </w:tcPr>
          <w:p>
            <w:pPr>
              <w:widowControl/>
              <w:jc w:val="center"/>
              <w:rPr>
                <w:kern w:val="0"/>
                <w:szCs w:val="21"/>
              </w:rPr>
            </w:pPr>
          </w:p>
        </w:tc>
        <w:tc>
          <w:tcPr>
            <w:tcW w:w="1905" w:type="pct"/>
            <w:tcBorders>
              <w:top w:val="single" w:color="auto" w:sz="6" w:space="0"/>
              <w:bottom w:val="double" w:color="auto" w:sz="4" w:space="0"/>
            </w:tcBorders>
            <w:vAlign w:val="center"/>
          </w:tcPr>
          <w:p>
            <w:pPr>
              <w:widowControl/>
              <w:jc w:val="left"/>
              <w:rPr>
                <w:kern w:val="0"/>
                <w:szCs w:val="21"/>
              </w:rPr>
            </w:pPr>
            <w:r>
              <w:rPr>
                <w:rFonts w:hint="eastAsia"/>
                <w:kern w:val="0"/>
                <w:szCs w:val="21"/>
              </w:rPr>
              <w:t>2.</w:t>
            </w:r>
            <w:r>
              <w:rPr>
                <w:kern w:val="0"/>
                <w:szCs w:val="21"/>
              </w:rPr>
              <w:t>土地资源产出率（</w:t>
            </w:r>
            <w:r>
              <w:rPr>
                <w:rFonts w:hint="eastAsia"/>
                <w:kern w:val="0"/>
                <w:szCs w:val="21"/>
              </w:rPr>
              <w:t>亿</w:t>
            </w:r>
            <w:r>
              <w:rPr>
                <w:kern w:val="0"/>
                <w:szCs w:val="21"/>
              </w:rPr>
              <w:t>元/km</w:t>
            </w:r>
            <w:r>
              <w:rPr>
                <w:kern w:val="0"/>
                <w:szCs w:val="21"/>
                <w:vertAlign w:val="superscript"/>
              </w:rPr>
              <w:t>2</w:t>
            </w:r>
            <w:r>
              <w:rPr>
                <w:kern w:val="0"/>
                <w:szCs w:val="21"/>
              </w:rPr>
              <w:t>）</w:t>
            </w:r>
          </w:p>
        </w:tc>
        <w:tc>
          <w:tcPr>
            <w:tcW w:w="538" w:type="pct"/>
            <w:tcBorders>
              <w:top w:val="single" w:color="auto" w:sz="6" w:space="0"/>
              <w:bottom w:val="double" w:color="auto" w:sz="4" w:space="0"/>
            </w:tcBorders>
            <w:vAlign w:val="center"/>
          </w:tcPr>
          <w:p>
            <w:pPr>
              <w:widowControl/>
              <w:jc w:val="center"/>
              <w:rPr>
                <w:kern w:val="0"/>
                <w:szCs w:val="21"/>
              </w:rPr>
            </w:pPr>
            <w:r>
              <w:rPr>
                <w:rFonts w:hint="eastAsia"/>
                <w:kern w:val="0"/>
                <w:szCs w:val="21"/>
              </w:rPr>
              <w:t>10</w:t>
            </w:r>
          </w:p>
        </w:tc>
        <w:tc>
          <w:tcPr>
            <w:tcW w:w="1139" w:type="pct"/>
            <w:tcBorders>
              <w:top w:val="single" w:color="auto" w:sz="6" w:space="0"/>
              <w:bottom w:val="double" w:color="auto" w:sz="4" w:space="0"/>
            </w:tcBorders>
            <w:vAlign w:val="center"/>
          </w:tcPr>
          <w:p>
            <w:pPr>
              <w:widowControl/>
              <w:jc w:val="center"/>
              <w:rPr>
                <w:kern w:val="0"/>
                <w:szCs w:val="21"/>
              </w:rPr>
            </w:pPr>
            <w:r>
              <w:rPr>
                <w:rFonts w:hint="eastAsia"/>
                <w:kern w:val="0"/>
                <w:szCs w:val="21"/>
              </w:rPr>
              <w:t>工信部《绿色园区评价要求》、调研数据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double" w:color="auto" w:sz="4" w:space="0"/>
            </w:tcBorders>
            <w:vAlign w:val="center"/>
          </w:tcPr>
          <w:p>
            <w:pPr>
              <w:widowControl/>
              <w:jc w:val="center"/>
              <w:rPr>
                <w:b/>
                <w:kern w:val="0"/>
                <w:szCs w:val="21"/>
              </w:rPr>
            </w:pPr>
            <w:r>
              <w:rPr>
                <w:b/>
                <w:kern w:val="0"/>
                <w:szCs w:val="21"/>
              </w:rPr>
              <w:t>能源利用指标</w:t>
            </w:r>
          </w:p>
        </w:tc>
        <w:tc>
          <w:tcPr>
            <w:tcW w:w="707" w:type="pct"/>
            <w:tcBorders>
              <w:top w:val="double" w:color="auto" w:sz="4" w:space="0"/>
              <w:bottom w:val="single" w:color="auto" w:sz="4" w:space="0"/>
            </w:tcBorders>
            <w:vAlign w:val="center"/>
          </w:tcPr>
          <w:p>
            <w:pPr>
              <w:widowControl/>
              <w:jc w:val="center"/>
              <w:rPr>
                <w:kern w:val="0"/>
                <w:szCs w:val="21"/>
              </w:rPr>
            </w:pPr>
            <w:r>
              <w:rPr>
                <w:kern w:val="0"/>
                <w:szCs w:val="21"/>
              </w:rPr>
              <w:t>能源消耗</w:t>
            </w:r>
          </w:p>
        </w:tc>
        <w:tc>
          <w:tcPr>
            <w:tcW w:w="1905" w:type="pct"/>
            <w:tcBorders>
              <w:top w:val="double" w:color="auto" w:sz="4" w:space="0"/>
              <w:bottom w:val="single" w:color="auto" w:sz="4" w:space="0"/>
            </w:tcBorders>
            <w:vAlign w:val="center"/>
          </w:tcPr>
          <w:p>
            <w:pPr>
              <w:widowControl/>
              <w:jc w:val="left"/>
              <w:rPr>
                <w:kern w:val="0"/>
                <w:szCs w:val="21"/>
              </w:rPr>
            </w:pPr>
            <w:r>
              <w:rPr>
                <w:rFonts w:hint="eastAsia"/>
                <w:kern w:val="0"/>
                <w:szCs w:val="21"/>
              </w:rPr>
              <w:t>3</w:t>
            </w:r>
            <w:r>
              <w:rPr>
                <w:kern w:val="0"/>
                <w:szCs w:val="21"/>
              </w:rPr>
              <w:t>.能源产出率（万元/</w:t>
            </w:r>
            <w:r>
              <w:rPr>
                <w:rFonts w:hint="eastAsia"/>
                <w:kern w:val="0"/>
                <w:szCs w:val="21"/>
              </w:rPr>
              <w:t>tce</w:t>
            </w:r>
            <w:r>
              <w:rPr>
                <w:kern w:val="0"/>
                <w:szCs w:val="21"/>
              </w:rPr>
              <w:t>）</w:t>
            </w:r>
          </w:p>
        </w:tc>
        <w:tc>
          <w:tcPr>
            <w:tcW w:w="538" w:type="pct"/>
            <w:tcBorders>
              <w:top w:val="double" w:color="auto" w:sz="4" w:space="0"/>
              <w:bottom w:val="single" w:color="auto" w:sz="6" w:space="0"/>
            </w:tcBorders>
            <w:vAlign w:val="center"/>
          </w:tcPr>
          <w:p>
            <w:pPr>
              <w:widowControl/>
              <w:jc w:val="center"/>
              <w:rPr>
                <w:kern w:val="0"/>
                <w:szCs w:val="21"/>
              </w:rPr>
            </w:pPr>
            <w:r>
              <w:rPr>
                <w:rFonts w:hint="eastAsia"/>
                <w:kern w:val="0"/>
                <w:szCs w:val="21"/>
              </w:rPr>
              <w:t>1.5</w:t>
            </w:r>
          </w:p>
        </w:tc>
        <w:tc>
          <w:tcPr>
            <w:tcW w:w="1139" w:type="pct"/>
            <w:tcBorders>
              <w:top w:val="double" w:color="auto" w:sz="4" w:space="0"/>
              <w:bottom w:val="single" w:color="auto" w:sz="6" w:space="0"/>
            </w:tcBorders>
            <w:vAlign w:val="center"/>
          </w:tcPr>
          <w:p>
            <w:pPr>
              <w:widowControl/>
              <w:jc w:val="center"/>
              <w:rPr>
                <w:kern w:val="0"/>
                <w:szCs w:val="21"/>
              </w:rPr>
            </w:pPr>
            <w:r>
              <w:rPr>
                <w:rFonts w:hint="eastAsia"/>
                <w:kern w:val="0"/>
                <w:szCs w:val="21"/>
              </w:rPr>
              <w:t>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bottom w:val="single" w:color="auto" w:sz="4" w:space="0"/>
            </w:tcBorders>
            <w:vAlign w:val="center"/>
          </w:tcPr>
          <w:p>
            <w:pPr>
              <w:widowControl/>
              <w:jc w:val="left"/>
              <w:rPr>
                <w:b/>
                <w:kern w:val="0"/>
                <w:szCs w:val="21"/>
              </w:rPr>
            </w:pPr>
          </w:p>
        </w:tc>
        <w:tc>
          <w:tcPr>
            <w:tcW w:w="707" w:type="pct"/>
            <w:tcBorders>
              <w:top w:val="single" w:color="auto" w:sz="4" w:space="0"/>
              <w:bottom w:val="single" w:color="auto" w:sz="4" w:space="0"/>
            </w:tcBorders>
            <w:vAlign w:val="center"/>
          </w:tcPr>
          <w:p>
            <w:pPr>
              <w:widowControl/>
              <w:jc w:val="center"/>
              <w:rPr>
                <w:kern w:val="0"/>
                <w:szCs w:val="21"/>
              </w:rPr>
            </w:pPr>
            <w:r>
              <w:rPr>
                <w:kern w:val="0"/>
                <w:szCs w:val="21"/>
              </w:rPr>
              <w:t>能源综合利用</w:t>
            </w:r>
          </w:p>
        </w:tc>
        <w:tc>
          <w:tcPr>
            <w:tcW w:w="1905" w:type="pct"/>
            <w:tcBorders>
              <w:top w:val="single" w:color="auto" w:sz="6" w:space="0"/>
              <w:bottom w:val="single" w:color="auto" w:sz="4" w:space="0"/>
            </w:tcBorders>
            <w:vAlign w:val="center"/>
          </w:tcPr>
          <w:p>
            <w:pPr>
              <w:widowControl/>
              <w:jc w:val="left"/>
              <w:rPr>
                <w:kern w:val="0"/>
                <w:szCs w:val="21"/>
              </w:rPr>
            </w:pPr>
            <w:r>
              <w:rPr>
                <w:rFonts w:hint="eastAsia"/>
                <w:kern w:val="0"/>
                <w:szCs w:val="21"/>
              </w:rPr>
              <w:t>4</w:t>
            </w:r>
            <w:r>
              <w:rPr>
                <w:kern w:val="0"/>
                <w:szCs w:val="21"/>
              </w:rPr>
              <w:t>.可再生能源使用比例</w:t>
            </w:r>
          </w:p>
        </w:tc>
        <w:tc>
          <w:tcPr>
            <w:tcW w:w="538" w:type="pct"/>
            <w:tcBorders>
              <w:top w:val="single" w:color="auto" w:sz="6" w:space="0"/>
              <w:bottom w:val="double" w:color="auto" w:sz="4" w:space="0"/>
            </w:tcBorders>
            <w:vAlign w:val="center"/>
          </w:tcPr>
          <w:p>
            <w:pPr>
              <w:widowControl/>
              <w:jc w:val="center"/>
              <w:rPr>
                <w:kern w:val="0"/>
                <w:szCs w:val="21"/>
              </w:rPr>
            </w:pPr>
            <w:r>
              <w:rPr>
                <w:rFonts w:hint="eastAsia"/>
                <w:kern w:val="0"/>
                <w:szCs w:val="21"/>
              </w:rPr>
              <w:t>5%</w:t>
            </w:r>
          </w:p>
        </w:tc>
        <w:tc>
          <w:tcPr>
            <w:tcW w:w="1139" w:type="pct"/>
            <w:tcBorders>
              <w:top w:val="single" w:color="auto" w:sz="6" w:space="0"/>
              <w:bottom w:val="double" w:color="auto" w:sz="4" w:space="0"/>
            </w:tcBorders>
            <w:vAlign w:val="center"/>
          </w:tcPr>
          <w:p>
            <w:pPr>
              <w:widowControl/>
              <w:jc w:val="center"/>
              <w:rPr>
                <w:kern w:val="0"/>
                <w:szCs w:val="21"/>
              </w:rPr>
            </w:pPr>
            <w:r>
              <w:rPr>
                <w:rFonts w:hint="eastAsia"/>
                <w:kern w:val="0"/>
                <w:szCs w:val="21"/>
              </w:rPr>
              <w:t>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double" w:color="auto" w:sz="4" w:space="0"/>
            </w:tcBorders>
            <w:vAlign w:val="center"/>
          </w:tcPr>
          <w:p>
            <w:pPr>
              <w:jc w:val="center"/>
              <w:rPr>
                <w:b/>
                <w:kern w:val="0"/>
                <w:szCs w:val="21"/>
              </w:rPr>
            </w:pPr>
            <w:r>
              <w:rPr>
                <w:b/>
                <w:kern w:val="0"/>
                <w:szCs w:val="21"/>
              </w:rPr>
              <w:t>资源利用指标</w:t>
            </w:r>
          </w:p>
        </w:tc>
        <w:tc>
          <w:tcPr>
            <w:tcW w:w="707" w:type="pct"/>
            <w:vMerge w:val="restart"/>
            <w:tcBorders>
              <w:top w:val="double" w:color="auto" w:sz="4" w:space="0"/>
            </w:tcBorders>
            <w:vAlign w:val="center"/>
          </w:tcPr>
          <w:p>
            <w:pPr>
              <w:jc w:val="center"/>
              <w:rPr>
                <w:kern w:val="0"/>
                <w:szCs w:val="21"/>
              </w:rPr>
            </w:pPr>
            <w:r>
              <w:rPr>
                <w:kern w:val="0"/>
                <w:szCs w:val="21"/>
              </w:rPr>
              <w:t>资源消耗</w:t>
            </w:r>
          </w:p>
        </w:tc>
        <w:tc>
          <w:tcPr>
            <w:tcW w:w="1905" w:type="pct"/>
            <w:tcBorders>
              <w:top w:val="double" w:color="auto" w:sz="4" w:space="0"/>
              <w:bottom w:val="single" w:color="auto" w:sz="4" w:space="0"/>
              <w:right w:val="single" w:color="auto" w:sz="4" w:space="0"/>
            </w:tcBorders>
            <w:vAlign w:val="center"/>
          </w:tcPr>
          <w:p>
            <w:pPr>
              <w:widowControl/>
              <w:rPr>
                <w:kern w:val="0"/>
                <w:szCs w:val="21"/>
              </w:rPr>
            </w:pPr>
            <w:r>
              <w:rPr>
                <w:rFonts w:hint="eastAsia"/>
                <w:kern w:val="0"/>
                <w:szCs w:val="21"/>
              </w:rPr>
              <w:t>5</w:t>
            </w:r>
            <w:r>
              <w:rPr>
                <w:kern w:val="0"/>
                <w:szCs w:val="21"/>
              </w:rPr>
              <w:t>.水资源产出率（万元/</w:t>
            </w:r>
            <w:r>
              <w:rPr>
                <w:rFonts w:hint="eastAsia"/>
                <w:kern w:val="0"/>
                <w:szCs w:val="21"/>
              </w:rPr>
              <w:t>t</w:t>
            </w:r>
            <w:r>
              <w:rPr>
                <w:kern w:val="0"/>
                <w:szCs w:val="21"/>
              </w:rPr>
              <w:t>）</w:t>
            </w:r>
          </w:p>
        </w:tc>
        <w:tc>
          <w:tcPr>
            <w:tcW w:w="538" w:type="pct"/>
            <w:tcBorders>
              <w:top w:val="doub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1</w:t>
            </w:r>
          </w:p>
        </w:tc>
        <w:tc>
          <w:tcPr>
            <w:tcW w:w="1139" w:type="pct"/>
            <w:tcBorders>
              <w:top w:val="double" w:color="auto" w:sz="4" w:space="0"/>
              <w:left w:val="single" w:color="auto" w:sz="4" w:space="0"/>
              <w:bottom w:val="single" w:color="auto" w:sz="4" w:space="0"/>
            </w:tcBorders>
            <w:vAlign w:val="center"/>
          </w:tcPr>
          <w:p>
            <w:pPr>
              <w:widowControl/>
              <w:jc w:val="center"/>
              <w:rPr>
                <w:kern w:val="0"/>
                <w:szCs w:val="21"/>
              </w:rPr>
            </w:pPr>
            <w:r>
              <w:rPr>
                <w:rFonts w:hint="eastAsia"/>
                <w:kern w:val="0"/>
                <w:szCs w:val="21"/>
              </w:rPr>
              <w:t>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continue"/>
            <w:tcBorders>
              <w:bottom w:val="single" w:color="auto" w:sz="4" w:space="0"/>
            </w:tcBorders>
            <w:vAlign w:val="center"/>
          </w:tcPr>
          <w:p>
            <w:pPr>
              <w:widowControl/>
              <w:jc w:val="center"/>
              <w:rPr>
                <w:kern w:val="0"/>
                <w:szCs w:val="21"/>
              </w:rPr>
            </w:pPr>
          </w:p>
        </w:tc>
        <w:tc>
          <w:tcPr>
            <w:tcW w:w="1905" w:type="pct"/>
            <w:tcBorders>
              <w:top w:val="single" w:color="auto" w:sz="4" w:space="0"/>
              <w:bottom w:val="single" w:color="auto" w:sz="4" w:space="0"/>
              <w:right w:val="single" w:color="auto" w:sz="4" w:space="0"/>
            </w:tcBorders>
            <w:vAlign w:val="center"/>
          </w:tcPr>
          <w:p>
            <w:pPr>
              <w:widowControl/>
              <w:rPr>
                <w:kern w:val="0"/>
                <w:szCs w:val="21"/>
              </w:rPr>
            </w:pPr>
            <w:r>
              <w:rPr>
                <w:rFonts w:hint="eastAsia"/>
                <w:kern w:val="0"/>
                <w:szCs w:val="21"/>
              </w:rPr>
              <w:t>6</w:t>
            </w:r>
            <w:r>
              <w:rPr>
                <w:kern w:val="0"/>
                <w:szCs w:val="21"/>
              </w:rPr>
              <w:t>.绿色环保原材料的使用率</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40%</w:t>
            </w:r>
          </w:p>
        </w:tc>
        <w:tc>
          <w:tcPr>
            <w:tcW w:w="1139" w:type="pct"/>
            <w:tcBorders>
              <w:top w:val="single" w:color="auto" w:sz="4" w:space="0"/>
              <w:left w:val="single" w:color="auto" w:sz="4" w:space="0"/>
              <w:bottom w:val="single" w:color="auto" w:sz="4" w:space="0"/>
            </w:tcBorders>
            <w:vAlign w:val="center"/>
          </w:tcPr>
          <w:p>
            <w:pPr>
              <w:widowControl/>
              <w:jc w:val="center"/>
              <w:rPr>
                <w:kern w:val="0"/>
                <w:szCs w:val="21"/>
              </w:rPr>
            </w:pPr>
            <w:r>
              <w:rPr>
                <w:rFonts w:hint="eastAsia"/>
                <w:kern w:val="0"/>
                <w:szCs w:val="21"/>
              </w:rPr>
              <w:t>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restart"/>
            <w:tcBorders>
              <w:top w:val="single" w:color="auto" w:sz="4" w:space="0"/>
            </w:tcBorders>
            <w:vAlign w:val="center"/>
          </w:tcPr>
          <w:p>
            <w:pPr>
              <w:widowControl/>
              <w:jc w:val="left"/>
              <w:rPr>
                <w:szCs w:val="21"/>
              </w:rPr>
            </w:pPr>
            <w:r>
              <w:rPr>
                <w:szCs w:val="21"/>
              </w:rPr>
              <w:t>资源综合利用</w:t>
            </w:r>
          </w:p>
        </w:tc>
        <w:tc>
          <w:tcPr>
            <w:tcW w:w="1905" w:type="pct"/>
            <w:tcBorders>
              <w:top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7</w:t>
            </w:r>
            <w:r>
              <w:rPr>
                <w:kern w:val="0"/>
                <w:szCs w:val="21"/>
              </w:rPr>
              <w:t>.工业固体废弃物</w:t>
            </w:r>
            <w:r>
              <w:rPr>
                <w:rFonts w:hint="eastAsia"/>
                <w:kern w:val="0"/>
                <w:szCs w:val="21"/>
              </w:rPr>
              <w:t>分类收集</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有</w:t>
            </w:r>
          </w:p>
        </w:tc>
        <w:tc>
          <w:tcPr>
            <w:tcW w:w="1139" w:type="pct"/>
            <w:tcBorders>
              <w:top w:val="single" w:color="auto" w:sz="4" w:space="0"/>
              <w:left w:val="single" w:color="auto" w:sz="4" w:space="0"/>
              <w:bottom w:val="single" w:color="auto" w:sz="4" w:space="0"/>
            </w:tcBorders>
            <w:vAlign w:val="center"/>
          </w:tcPr>
          <w:p>
            <w:pPr>
              <w:widowControl/>
              <w:jc w:val="center"/>
              <w:rPr>
                <w:kern w:val="0"/>
                <w:szCs w:val="21"/>
              </w:rPr>
            </w:pPr>
            <w:r>
              <w:rPr>
                <w:rFonts w:hint="eastAsia"/>
                <w:kern w:val="0"/>
                <w:szCs w:val="21"/>
              </w:rPr>
              <w:t>调研情况、专家咨询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continue"/>
            <w:vAlign w:val="center"/>
          </w:tcPr>
          <w:p>
            <w:pPr>
              <w:widowControl/>
              <w:jc w:val="left"/>
              <w:rPr>
                <w:szCs w:val="21"/>
              </w:rPr>
            </w:pPr>
          </w:p>
        </w:tc>
        <w:tc>
          <w:tcPr>
            <w:tcW w:w="1905" w:type="pct"/>
            <w:tcBorders>
              <w:top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8</w:t>
            </w:r>
            <w:r>
              <w:rPr>
                <w:kern w:val="0"/>
                <w:szCs w:val="21"/>
              </w:rPr>
              <w:t>.工业用水重复利用率</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80%</w:t>
            </w:r>
          </w:p>
        </w:tc>
        <w:tc>
          <w:tcPr>
            <w:tcW w:w="1139" w:type="pct"/>
            <w:tcBorders>
              <w:top w:val="single" w:color="auto" w:sz="4" w:space="0"/>
              <w:left w:val="single" w:color="auto" w:sz="4" w:space="0"/>
              <w:bottom w:val="single" w:color="auto" w:sz="4" w:space="0"/>
            </w:tcBorders>
            <w:vAlign w:val="center"/>
          </w:tcPr>
          <w:p>
            <w:pPr>
              <w:widowControl/>
              <w:jc w:val="center"/>
              <w:rPr>
                <w:kern w:val="0"/>
                <w:szCs w:val="21"/>
              </w:rPr>
            </w:pPr>
            <w:r>
              <w:rPr>
                <w:rFonts w:hint="eastAsia"/>
                <w:kern w:val="0"/>
                <w:szCs w:val="21"/>
              </w:rPr>
              <w:t>《合成革行业清洁生产评价指标体系》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9</w:t>
            </w:r>
            <w:r>
              <w:rPr>
                <w:kern w:val="0"/>
                <w:szCs w:val="21"/>
              </w:rPr>
              <w:t>.余热资源回收利用率</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30%</w:t>
            </w:r>
          </w:p>
        </w:tc>
        <w:tc>
          <w:tcPr>
            <w:tcW w:w="1139" w:type="pct"/>
            <w:tcBorders>
              <w:top w:val="single" w:color="auto" w:sz="4" w:space="0"/>
              <w:left w:val="single" w:color="auto" w:sz="4" w:space="0"/>
              <w:bottom w:val="single" w:color="auto" w:sz="4" w:space="0"/>
            </w:tcBorders>
            <w:vAlign w:val="center"/>
          </w:tcPr>
          <w:p>
            <w:pPr>
              <w:widowControl/>
              <w:jc w:val="center"/>
              <w:rPr>
                <w:kern w:val="0"/>
                <w:szCs w:val="21"/>
              </w:rPr>
            </w:pPr>
            <w:r>
              <w:rPr>
                <w:rFonts w:hint="eastAsia"/>
                <w:kern w:val="0"/>
                <w:szCs w:val="21"/>
              </w:rPr>
              <w:t>工信部《绿色园区评价要求》、调研数据、专家咨询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bottom w:val="double" w:color="auto" w:sz="4" w:space="0"/>
            </w:tcBorders>
            <w:vAlign w:val="center"/>
          </w:tcPr>
          <w:p>
            <w:pPr>
              <w:widowControl/>
              <w:jc w:val="left"/>
              <w:rPr>
                <w:b/>
                <w:kern w:val="0"/>
                <w:szCs w:val="21"/>
              </w:rPr>
            </w:pPr>
          </w:p>
        </w:tc>
        <w:tc>
          <w:tcPr>
            <w:tcW w:w="707" w:type="pct"/>
            <w:vMerge w:val="continue"/>
            <w:tcBorders>
              <w:bottom w:val="double" w:color="auto" w:sz="4" w:space="0"/>
            </w:tcBorders>
            <w:vAlign w:val="center"/>
          </w:tcPr>
          <w:p>
            <w:pPr>
              <w:widowControl/>
              <w:jc w:val="left"/>
              <w:rPr>
                <w:kern w:val="0"/>
                <w:szCs w:val="21"/>
              </w:rPr>
            </w:pPr>
          </w:p>
        </w:tc>
        <w:tc>
          <w:tcPr>
            <w:tcW w:w="1905" w:type="pct"/>
            <w:tcBorders>
              <w:top w:val="single" w:color="auto" w:sz="6" w:space="0"/>
              <w:bottom w:val="double" w:color="auto" w:sz="4" w:space="0"/>
            </w:tcBorders>
            <w:vAlign w:val="center"/>
          </w:tcPr>
          <w:p>
            <w:pPr>
              <w:widowControl/>
              <w:jc w:val="left"/>
              <w:rPr>
                <w:szCs w:val="21"/>
              </w:rPr>
            </w:pPr>
            <w:r>
              <w:rPr>
                <w:rFonts w:hint="eastAsia"/>
                <w:kern w:val="0"/>
                <w:szCs w:val="21"/>
              </w:rPr>
              <w:t>10</w:t>
            </w:r>
            <w:r>
              <w:rPr>
                <w:kern w:val="0"/>
                <w:szCs w:val="21"/>
              </w:rPr>
              <w:t>.DMF回收利用率</w:t>
            </w:r>
          </w:p>
        </w:tc>
        <w:tc>
          <w:tcPr>
            <w:tcW w:w="538" w:type="pct"/>
            <w:tcBorders>
              <w:top w:val="single" w:color="auto" w:sz="6" w:space="0"/>
              <w:bottom w:val="double" w:color="auto" w:sz="4" w:space="0"/>
            </w:tcBorders>
            <w:vAlign w:val="center"/>
          </w:tcPr>
          <w:p>
            <w:pPr>
              <w:widowControl/>
              <w:jc w:val="center"/>
              <w:rPr>
                <w:kern w:val="0"/>
                <w:szCs w:val="21"/>
              </w:rPr>
            </w:pPr>
            <w:r>
              <w:rPr>
                <w:rFonts w:hint="eastAsia"/>
                <w:kern w:val="0"/>
                <w:szCs w:val="21"/>
              </w:rPr>
              <w:t>98%</w:t>
            </w:r>
          </w:p>
        </w:tc>
        <w:tc>
          <w:tcPr>
            <w:tcW w:w="1139" w:type="pct"/>
            <w:tcBorders>
              <w:top w:val="single" w:color="auto" w:sz="6" w:space="0"/>
              <w:bottom w:val="double" w:color="auto" w:sz="4" w:space="0"/>
            </w:tcBorders>
            <w:vAlign w:val="center"/>
          </w:tcPr>
          <w:p>
            <w:pPr>
              <w:widowControl/>
              <w:jc w:val="center"/>
              <w:rPr>
                <w:kern w:val="0"/>
                <w:szCs w:val="21"/>
              </w:rPr>
            </w:pPr>
            <w:r>
              <w:rPr>
                <w:rFonts w:hint="eastAsia"/>
                <w:kern w:val="0"/>
                <w:szCs w:val="21"/>
              </w:rPr>
              <w:t>《合成革行业清洁生产评价指标体系》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double" w:color="auto" w:sz="4" w:space="0"/>
            </w:tcBorders>
            <w:vAlign w:val="center"/>
          </w:tcPr>
          <w:p>
            <w:pPr>
              <w:widowControl/>
              <w:jc w:val="center"/>
              <w:rPr>
                <w:b/>
                <w:kern w:val="0"/>
                <w:szCs w:val="21"/>
              </w:rPr>
            </w:pPr>
            <w:r>
              <w:rPr>
                <w:b/>
                <w:kern w:val="0"/>
                <w:szCs w:val="21"/>
              </w:rPr>
              <w:t>环境保护指标</w:t>
            </w:r>
          </w:p>
        </w:tc>
        <w:tc>
          <w:tcPr>
            <w:tcW w:w="707" w:type="pct"/>
            <w:vMerge w:val="restart"/>
            <w:tcBorders>
              <w:top w:val="double" w:color="auto" w:sz="4" w:space="0"/>
            </w:tcBorders>
            <w:vAlign w:val="center"/>
          </w:tcPr>
          <w:p>
            <w:pPr>
              <w:widowControl/>
              <w:jc w:val="center"/>
              <w:rPr>
                <w:kern w:val="0"/>
                <w:szCs w:val="21"/>
              </w:rPr>
            </w:pPr>
            <w:r>
              <w:rPr>
                <w:kern w:val="0"/>
                <w:szCs w:val="21"/>
              </w:rPr>
              <w:t>污染物排放</w:t>
            </w:r>
          </w:p>
        </w:tc>
        <w:tc>
          <w:tcPr>
            <w:tcW w:w="1905" w:type="pct"/>
            <w:tcBorders>
              <w:top w:val="double" w:color="auto" w:sz="4" w:space="0"/>
              <w:bottom w:val="single" w:color="auto" w:sz="6" w:space="0"/>
            </w:tcBorders>
            <w:vAlign w:val="center"/>
          </w:tcPr>
          <w:p>
            <w:pPr>
              <w:autoSpaceDE w:val="0"/>
              <w:autoSpaceDN w:val="0"/>
              <w:rPr>
                <w:szCs w:val="21"/>
              </w:rPr>
            </w:pPr>
            <w:r>
              <w:rPr>
                <w:kern w:val="0"/>
                <w:szCs w:val="21"/>
              </w:rPr>
              <w:t>1</w:t>
            </w:r>
            <w:r>
              <w:rPr>
                <w:rFonts w:hint="eastAsia"/>
                <w:kern w:val="0"/>
                <w:szCs w:val="21"/>
              </w:rPr>
              <w:t>1</w:t>
            </w:r>
            <w:r>
              <w:rPr>
                <w:kern w:val="0"/>
                <w:szCs w:val="21"/>
              </w:rPr>
              <w:t>.</w:t>
            </w:r>
            <w:r>
              <w:rPr>
                <w:szCs w:val="21"/>
              </w:rPr>
              <w:t>单位工业增加值 废水排放量（</w:t>
            </w:r>
            <w:r>
              <w:rPr>
                <w:rFonts w:hint="eastAsia"/>
                <w:kern w:val="0"/>
                <w:szCs w:val="21"/>
              </w:rPr>
              <w:t>t</w:t>
            </w:r>
            <w:r>
              <w:rPr>
                <w:kern w:val="0"/>
                <w:szCs w:val="21"/>
              </w:rPr>
              <w:t>/万元）</w:t>
            </w:r>
          </w:p>
        </w:tc>
        <w:tc>
          <w:tcPr>
            <w:tcW w:w="538" w:type="pct"/>
            <w:tcBorders>
              <w:top w:val="double" w:color="auto" w:sz="4" w:space="0"/>
              <w:bottom w:val="single" w:color="auto" w:sz="6" w:space="0"/>
            </w:tcBorders>
            <w:vAlign w:val="center"/>
          </w:tcPr>
          <w:p>
            <w:pPr>
              <w:autoSpaceDE w:val="0"/>
              <w:autoSpaceDN w:val="0"/>
              <w:jc w:val="center"/>
              <w:rPr>
                <w:szCs w:val="21"/>
              </w:rPr>
            </w:pPr>
            <w:r>
              <w:rPr>
                <w:rFonts w:hint="eastAsia"/>
                <w:szCs w:val="21"/>
              </w:rPr>
              <w:t>0.8</w:t>
            </w:r>
          </w:p>
        </w:tc>
        <w:tc>
          <w:tcPr>
            <w:tcW w:w="1139" w:type="pct"/>
            <w:tcBorders>
              <w:top w:val="double" w:color="auto" w:sz="4" w:space="0"/>
              <w:bottom w:val="single" w:color="auto" w:sz="6" w:space="0"/>
            </w:tcBorders>
            <w:vAlign w:val="center"/>
          </w:tcPr>
          <w:p>
            <w:pPr>
              <w:widowControl/>
              <w:jc w:val="center"/>
              <w:rPr>
                <w:kern w:val="0"/>
                <w:szCs w:val="21"/>
              </w:rPr>
            </w:pPr>
            <w:r>
              <w:rPr>
                <w:rFonts w:hint="eastAsia"/>
                <w:kern w:val="0"/>
                <w:szCs w:val="21"/>
              </w:rPr>
              <w:t>调研数据、《合成革与人造革工业污染物排放标准》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left"/>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6" w:space="0"/>
              <w:bottom w:val="single" w:color="auto" w:sz="6" w:space="0"/>
            </w:tcBorders>
            <w:vAlign w:val="center"/>
          </w:tcPr>
          <w:p>
            <w:pPr>
              <w:autoSpaceDE w:val="0"/>
              <w:autoSpaceDN w:val="0"/>
              <w:rPr>
                <w:szCs w:val="21"/>
              </w:rPr>
            </w:pPr>
            <w:r>
              <w:rPr>
                <w:kern w:val="0"/>
                <w:szCs w:val="21"/>
              </w:rPr>
              <w:t>1</w:t>
            </w:r>
            <w:r>
              <w:rPr>
                <w:rFonts w:hint="eastAsia"/>
                <w:kern w:val="0"/>
                <w:szCs w:val="21"/>
              </w:rPr>
              <w:t>2</w:t>
            </w:r>
            <w:r>
              <w:rPr>
                <w:kern w:val="0"/>
                <w:szCs w:val="21"/>
              </w:rPr>
              <w:t>.</w:t>
            </w:r>
            <w:r>
              <w:rPr>
                <w:szCs w:val="21"/>
              </w:rPr>
              <w:t>单位工业增加值</w:t>
            </w:r>
            <w:r>
              <w:rPr>
                <w:kern w:val="0"/>
                <w:szCs w:val="21"/>
              </w:rPr>
              <w:t xml:space="preserve"> </w:t>
            </w:r>
            <w:r>
              <w:rPr>
                <w:szCs w:val="21"/>
              </w:rPr>
              <w:t>COD排放量（</w:t>
            </w:r>
            <w:r>
              <w:rPr>
                <w:rFonts w:hint="eastAsia"/>
                <w:kern w:val="0"/>
                <w:szCs w:val="21"/>
              </w:rPr>
              <w:t>kg</w:t>
            </w:r>
            <w:r>
              <w:rPr>
                <w:kern w:val="0"/>
                <w:szCs w:val="21"/>
              </w:rPr>
              <w:t>/万元）</w:t>
            </w:r>
          </w:p>
        </w:tc>
        <w:tc>
          <w:tcPr>
            <w:tcW w:w="538" w:type="pct"/>
            <w:tcBorders>
              <w:top w:val="single" w:color="auto" w:sz="6" w:space="0"/>
              <w:bottom w:val="single" w:color="auto" w:sz="6" w:space="0"/>
            </w:tcBorders>
            <w:vAlign w:val="center"/>
          </w:tcPr>
          <w:p>
            <w:pPr>
              <w:autoSpaceDE w:val="0"/>
              <w:autoSpaceDN w:val="0"/>
              <w:jc w:val="center"/>
              <w:rPr>
                <w:szCs w:val="21"/>
              </w:rPr>
            </w:pPr>
            <w:r>
              <w:rPr>
                <w:rFonts w:hint="eastAsia"/>
                <w:szCs w:val="21"/>
              </w:rPr>
              <w:t>0.06</w:t>
            </w:r>
          </w:p>
        </w:tc>
        <w:tc>
          <w:tcPr>
            <w:tcW w:w="1139" w:type="pct"/>
            <w:tcBorders>
              <w:top w:val="single" w:color="auto" w:sz="6" w:space="0"/>
              <w:bottom w:val="single" w:color="auto" w:sz="6" w:space="0"/>
            </w:tcBorders>
            <w:vAlign w:val="center"/>
          </w:tcPr>
          <w:p>
            <w:pPr>
              <w:widowControl/>
              <w:jc w:val="center"/>
              <w:rPr>
                <w:kern w:val="0"/>
                <w:szCs w:val="21"/>
              </w:rPr>
            </w:pPr>
            <w:r>
              <w:rPr>
                <w:rFonts w:hint="eastAsia"/>
                <w:kern w:val="0"/>
                <w:szCs w:val="21"/>
              </w:rPr>
              <w:t>调研数据、《合成革与人造革工业污染物排放标准》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left"/>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6" w:space="0"/>
              <w:bottom w:val="single" w:color="auto" w:sz="6" w:space="0"/>
            </w:tcBorders>
            <w:vAlign w:val="center"/>
          </w:tcPr>
          <w:p>
            <w:pPr>
              <w:autoSpaceDE w:val="0"/>
              <w:autoSpaceDN w:val="0"/>
              <w:rPr>
                <w:kern w:val="0"/>
                <w:szCs w:val="21"/>
              </w:rPr>
            </w:pPr>
            <w:r>
              <w:rPr>
                <w:kern w:val="0"/>
                <w:szCs w:val="21"/>
              </w:rPr>
              <w:t>1</w:t>
            </w:r>
            <w:r>
              <w:rPr>
                <w:rFonts w:hint="eastAsia"/>
                <w:kern w:val="0"/>
                <w:szCs w:val="21"/>
              </w:rPr>
              <w:t>3</w:t>
            </w:r>
            <w:r>
              <w:rPr>
                <w:kern w:val="0"/>
                <w:szCs w:val="21"/>
              </w:rPr>
              <w:t>.</w:t>
            </w:r>
            <w:r>
              <w:rPr>
                <w:szCs w:val="21"/>
              </w:rPr>
              <w:t>单位工业增加值</w:t>
            </w:r>
            <w:r>
              <w:rPr>
                <w:kern w:val="0"/>
                <w:szCs w:val="21"/>
              </w:rPr>
              <w:t xml:space="preserve"> </w:t>
            </w:r>
            <w:r>
              <w:rPr>
                <w:szCs w:val="21"/>
              </w:rPr>
              <w:t>氨氮排放量（</w:t>
            </w:r>
            <w:r>
              <w:rPr>
                <w:rFonts w:hint="eastAsia"/>
                <w:kern w:val="0"/>
                <w:szCs w:val="21"/>
              </w:rPr>
              <w:t>kg</w:t>
            </w:r>
            <w:r>
              <w:rPr>
                <w:kern w:val="0"/>
                <w:szCs w:val="21"/>
              </w:rPr>
              <w:t>/万元）</w:t>
            </w:r>
          </w:p>
        </w:tc>
        <w:tc>
          <w:tcPr>
            <w:tcW w:w="538" w:type="pct"/>
            <w:tcBorders>
              <w:top w:val="single" w:color="auto" w:sz="6" w:space="0"/>
              <w:bottom w:val="single" w:color="auto" w:sz="6" w:space="0"/>
            </w:tcBorders>
            <w:vAlign w:val="center"/>
          </w:tcPr>
          <w:p>
            <w:pPr>
              <w:autoSpaceDE w:val="0"/>
              <w:autoSpaceDN w:val="0"/>
              <w:jc w:val="center"/>
              <w:rPr>
                <w:kern w:val="0"/>
                <w:szCs w:val="21"/>
              </w:rPr>
            </w:pPr>
            <w:r>
              <w:rPr>
                <w:rFonts w:hint="eastAsia"/>
                <w:kern w:val="0"/>
                <w:szCs w:val="21"/>
              </w:rPr>
              <w:t>0.006</w:t>
            </w:r>
          </w:p>
        </w:tc>
        <w:tc>
          <w:tcPr>
            <w:tcW w:w="1139" w:type="pct"/>
            <w:tcBorders>
              <w:top w:val="single" w:color="auto" w:sz="6" w:space="0"/>
              <w:bottom w:val="single" w:color="auto" w:sz="6" w:space="0"/>
            </w:tcBorders>
            <w:vAlign w:val="center"/>
          </w:tcPr>
          <w:p>
            <w:pPr>
              <w:widowControl/>
              <w:jc w:val="center"/>
              <w:rPr>
                <w:kern w:val="0"/>
                <w:szCs w:val="21"/>
              </w:rPr>
            </w:pPr>
            <w:r>
              <w:rPr>
                <w:rFonts w:hint="eastAsia"/>
                <w:kern w:val="0"/>
                <w:szCs w:val="21"/>
              </w:rPr>
              <w:t>调研数据、《合成革与人造革工业污染物排放标准》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left"/>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6" w:space="0"/>
              <w:bottom w:val="single" w:color="auto" w:sz="6" w:space="0"/>
            </w:tcBorders>
            <w:vAlign w:val="center"/>
          </w:tcPr>
          <w:p>
            <w:pPr>
              <w:autoSpaceDE w:val="0"/>
              <w:autoSpaceDN w:val="0"/>
              <w:rPr>
                <w:szCs w:val="21"/>
              </w:rPr>
            </w:pPr>
            <w:r>
              <w:rPr>
                <w:kern w:val="0"/>
                <w:szCs w:val="21"/>
              </w:rPr>
              <w:t>1</w:t>
            </w:r>
            <w:r>
              <w:rPr>
                <w:rFonts w:hint="eastAsia"/>
                <w:kern w:val="0"/>
                <w:szCs w:val="21"/>
              </w:rPr>
              <w:t>4</w:t>
            </w:r>
            <w:r>
              <w:rPr>
                <w:kern w:val="0"/>
                <w:szCs w:val="21"/>
              </w:rPr>
              <w:t>.</w:t>
            </w:r>
            <w:r>
              <w:rPr>
                <w:szCs w:val="21"/>
              </w:rPr>
              <w:t>单位工业增加值</w:t>
            </w:r>
            <w:r>
              <w:rPr>
                <w:kern w:val="0"/>
                <w:szCs w:val="21"/>
              </w:rPr>
              <w:t xml:space="preserve"> </w:t>
            </w:r>
            <w:r>
              <w:rPr>
                <w:szCs w:val="21"/>
              </w:rPr>
              <w:t>VOCs排放量（</w:t>
            </w:r>
            <w:r>
              <w:rPr>
                <w:rFonts w:hint="eastAsia"/>
                <w:kern w:val="0"/>
                <w:szCs w:val="21"/>
              </w:rPr>
              <w:t>kg</w:t>
            </w:r>
            <w:r>
              <w:rPr>
                <w:kern w:val="0"/>
                <w:szCs w:val="21"/>
              </w:rPr>
              <w:t>/万元）</w:t>
            </w:r>
          </w:p>
        </w:tc>
        <w:tc>
          <w:tcPr>
            <w:tcW w:w="538" w:type="pct"/>
            <w:tcBorders>
              <w:top w:val="single" w:color="auto" w:sz="6" w:space="0"/>
              <w:bottom w:val="single" w:color="auto" w:sz="6" w:space="0"/>
            </w:tcBorders>
            <w:vAlign w:val="center"/>
          </w:tcPr>
          <w:p>
            <w:pPr>
              <w:autoSpaceDE w:val="0"/>
              <w:autoSpaceDN w:val="0"/>
              <w:jc w:val="center"/>
              <w:rPr>
                <w:kern w:val="0"/>
                <w:szCs w:val="21"/>
              </w:rPr>
            </w:pPr>
            <w:r>
              <w:rPr>
                <w:rFonts w:hint="eastAsia"/>
                <w:kern w:val="0"/>
                <w:szCs w:val="21"/>
              </w:rPr>
              <w:t>9</w:t>
            </w:r>
          </w:p>
        </w:tc>
        <w:tc>
          <w:tcPr>
            <w:tcW w:w="1139" w:type="pct"/>
            <w:tcBorders>
              <w:top w:val="single" w:color="auto" w:sz="6" w:space="0"/>
              <w:bottom w:val="single" w:color="auto" w:sz="6" w:space="0"/>
            </w:tcBorders>
            <w:vAlign w:val="center"/>
          </w:tcPr>
          <w:p>
            <w:pPr>
              <w:widowControl/>
              <w:jc w:val="center"/>
              <w:rPr>
                <w:kern w:val="0"/>
                <w:szCs w:val="21"/>
              </w:rPr>
            </w:pPr>
            <w:r>
              <w:rPr>
                <w:rFonts w:hint="eastAsia"/>
                <w:kern w:val="0"/>
                <w:szCs w:val="21"/>
              </w:rPr>
              <w:t>《合成革行业清洁生产评价指标体系》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left"/>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6" w:space="0"/>
              <w:bottom w:val="single" w:color="auto" w:sz="6" w:space="0"/>
            </w:tcBorders>
            <w:vAlign w:val="center"/>
          </w:tcPr>
          <w:p>
            <w:pPr>
              <w:autoSpaceDE w:val="0"/>
              <w:autoSpaceDN w:val="0"/>
              <w:rPr>
                <w:kern w:val="0"/>
                <w:szCs w:val="21"/>
              </w:rPr>
            </w:pPr>
            <w:r>
              <w:rPr>
                <w:kern w:val="0"/>
                <w:szCs w:val="21"/>
              </w:rPr>
              <w:t>1</w:t>
            </w:r>
            <w:r>
              <w:rPr>
                <w:rFonts w:hint="eastAsia"/>
                <w:kern w:val="0"/>
                <w:szCs w:val="21"/>
              </w:rPr>
              <w:t>5</w:t>
            </w:r>
            <w:r>
              <w:rPr>
                <w:kern w:val="0"/>
                <w:szCs w:val="21"/>
              </w:rPr>
              <w:t>.工业固体废弃物（含</w:t>
            </w:r>
            <w:r>
              <w:rPr>
                <w:rFonts w:hint="eastAsia"/>
                <w:kern w:val="0"/>
                <w:szCs w:val="21"/>
              </w:rPr>
              <w:t>危险废物</w:t>
            </w:r>
            <w:r>
              <w:rPr>
                <w:kern w:val="0"/>
                <w:szCs w:val="21"/>
              </w:rPr>
              <w:t>）处置利用率</w:t>
            </w:r>
          </w:p>
        </w:tc>
        <w:tc>
          <w:tcPr>
            <w:tcW w:w="538" w:type="pct"/>
            <w:tcBorders>
              <w:top w:val="single" w:color="auto" w:sz="6" w:space="0"/>
              <w:bottom w:val="single" w:color="auto" w:sz="6" w:space="0"/>
            </w:tcBorders>
            <w:vAlign w:val="center"/>
          </w:tcPr>
          <w:p>
            <w:pPr>
              <w:autoSpaceDE w:val="0"/>
              <w:autoSpaceDN w:val="0"/>
              <w:jc w:val="center"/>
              <w:rPr>
                <w:kern w:val="0"/>
                <w:szCs w:val="21"/>
              </w:rPr>
            </w:pPr>
            <w:r>
              <w:rPr>
                <w:rFonts w:hint="eastAsia"/>
                <w:kern w:val="0"/>
                <w:szCs w:val="21"/>
              </w:rPr>
              <w:t>100%</w:t>
            </w:r>
          </w:p>
        </w:tc>
        <w:tc>
          <w:tcPr>
            <w:tcW w:w="1139" w:type="pct"/>
            <w:tcBorders>
              <w:top w:val="single" w:color="auto" w:sz="6" w:space="0"/>
              <w:bottom w:val="single" w:color="auto" w:sz="6" w:space="0"/>
            </w:tcBorders>
            <w:vAlign w:val="center"/>
          </w:tcPr>
          <w:p>
            <w:pPr>
              <w:widowControl/>
              <w:jc w:val="center"/>
              <w:rPr>
                <w:kern w:val="0"/>
                <w:szCs w:val="21"/>
              </w:rPr>
            </w:pPr>
            <w:r>
              <w:rPr>
                <w:rFonts w:hint="eastAsia"/>
                <w:kern w:val="0"/>
                <w:szCs w:val="21"/>
              </w:rPr>
              <w:t>工信部《绿色园区评价要求》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left"/>
              <w:rPr>
                <w:b/>
                <w:kern w:val="0"/>
                <w:szCs w:val="21"/>
              </w:rPr>
            </w:pPr>
          </w:p>
        </w:tc>
        <w:tc>
          <w:tcPr>
            <w:tcW w:w="707" w:type="pct"/>
            <w:vMerge w:val="restart"/>
            <w:vAlign w:val="center"/>
          </w:tcPr>
          <w:p>
            <w:pPr>
              <w:jc w:val="center"/>
              <w:rPr>
                <w:kern w:val="0"/>
                <w:szCs w:val="21"/>
              </w:rPr>
            </w:pPr>
            <w:r>
              <w:rPr>
                <w:kern w:val="0"/>
                <w:szCs w:val="21"/>
              </w:rPr>
              <w:t>生态环境</w:t>
            </w:r>
          </w:p>
        </w:tc>
        <w:tc>
          <w:tcPr>
            <w:tcW w:w="1905" w:type="pct"/>
            <w:tcBorders>
              <w:top w:val="single" w:color="auto" w:sz="6" w:space="0"/>
              <w:bottom w:val="single" w:color="auto" w:sz="6" w:space="0"/>
            </w:tcBorders>
            <w:vAlign w:val="center"/>
          </w:tcPr>
          <w:p>
            <w:pPr>
              <w:autoSpaceDE w:val="0"/>
              <w:autoSpaceDN w:val="0"/>
              <w:rPr>
                <w:kern w:val="0"/>
                <w:szCs w:val="21"/>
              </w:rPr>
            </w:pPr>
            <w:r>
              <w:rPr>
                <w:kern w:val="0"/>
                <w:szCs w:val="21"/>
              </w:rPr>
              <w:t>1</w:t>
            </w:r>
            <w:r>
              <w:rPr>
                <w:rFonts w:hint="eastAsia"/>
                <w:kern w:val="0"/>
                <w:szCs w:val="21"/>
              </w:rPr>
              <w:t>6</w:t>
            </w:r>
            <w:r>
              <w:rPr>
                <w:kern w:val="0"/>
                <w:szCs w:val="21"/>
              </w:rPr>
              <w:t>.VOCs排放弹性系数</w:t>
            </w:r>
          </w:p>
        </w:tc>
        <w:tc>
          <w:tcPr>
            <w:tcW w:w="538" w:type="pct"/>
            <w:tcBorders>
              <w:top w:val="single" w:color="auto" w:sz="6" w:space="0"/>
              <w:bottom w:val="single" w:color="auto" w:sz="6" w:space="0"/>
            </w:tcBorders>
            <w:vAlign w:val="center"/>
          </w:tcPr>
          <w:p>
            <w:pPr>
              <w:autoSpaceDE w:val="0"/>
              <w:autoSpaceDN w:val="0"/>
              <w:jc w:val="center"/>
              <w:rPr>
                <w:kern w:val="0"/>
                <w:szCs w:val="21"/>
              </w:rPr>
            </w:pPr>
            <w:r>
              <w:rPr>
                <w:rFonts w:hint="eastAsia"/>
                <w:kern w:val="0"/>
                <w:szCs w:val="21"/>
              </w:rPr>
              <w:t>0.3</w:t>
            </w:r>
          </w:p>
        </w:tc>
        <w:tc>
          <w:tcPr>
            <w:tcW w:w="1139" w:type="pct"/>
            <w:tcBorders>
              <w:top w:val="single" w:color="auto" w:sz="6" w:space="0"/>
              <w:bottom w:val="single" w:color="auto" w:sz="6" w:space="0"/>
            </w:tcBorders>
            <w:vAlign w:val="center"/>
          </w:tcPr>
          <w:p>
            <w:pPr>
              <w:widowControl/>
              <w:jc w:val="center"/>
              <w:rPr>
                <w:kern w:val="0"/>
                <w:szCs w:val="21"/>
              </w:rPr>
            </w:pPr>
            <w:r>
              <w:rPr>
                <w:rFonts w:hint="eastAsia"/>
                <w:kern w:val="0"/>
                <w:szCs w:val="21"/>
              </w:rPr>
              <w:t>工信部《绿色园区评价要求》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left"/>
              <w:rPr>
                <w:b/>
                <w:kern w:val="0"/>
                <w:szCs w:val="21"/>
              </w:rPr>
            </w:pPr>
          </w:p>
        </w:tc>
        <w:tc>
          <w:tcPr>
            <w:tcW w:w="707" w:type="pct"/>
            <w:vMerge w:val="continue"/>
            <w:vAlign w:val="center"/>
          </w:tcPr>
          <w:p>
            <w:pPr>
              <w:jc w:val="center"/>
              <w:rPr>
                <w:kern w:val="0"/>
                <w:szCs w:val="21"/>
              </w:rPr>
            </w:pPr>
          </w:p>
        </w:tc>
        <w:tc>
          <w:tcPr>
            <w:tcW w:w="1905" w:type="pct"/>
            <w:tcBorders>
              <w:top w:val="single" w:color="auto" w:sz="6" w:space="0"/>
              <w:bottom w:val="single" w:color="auto" w:sz="6" w:space="0"/>
            </w:tcBorders>
            <w:vAlign w:val="center"/>
          </w:tcPr>
          <w:p>
            <w:pPr>
              <w:autoSpaceDE w:val="0"/>
              <w:autoSpaceDN w:val="0"/>
              <w:rPr>
                <w:kern w:val="0"/>
                <w:szCs w:val="21"/>
              </w:rPr>
            </w:pPr>
            <w:r>
              <w:rPr>
                <w:kern w:val="0"/>
                <w:szCs w:val="21"/>
              </w:rPr>
              <w:t>1</w:t>
            </w:r>
            <w:r>
              <w:rPr>
                <w:rFonts w:hint="eastAsia"/>
                <w:kern w:val="0"/>
                <w:szCs w:val="21"/>
              </w:rPr>
              <w:t>7</w:t>
            </w:r>
            <w:r>
              <w:rPr>
                <w:kern w:val="0"/>
                <w:szCs w:val="21"/>
              </w:rPr>
              <w:t>.COD排放弹性系数</w:t>
            </w:r>
          </w:p>
        </w:tc>
        <w:tc>
          <w:tcPr>
            <w:tcW w:w="538" w:type="pct"/>
            <w:tcBorders>
              <w:top w:val="single" w:color="auto" w:sz="6" w:space="0"/>
              <w:bottom w:val="single" w:color="auto" w:sz="6" w:space="0"/>
            </w:tcBorders>
            <w:vAlign w:val="center"/>
          </w:tcPr>
          <w:p>
            <w:pPr>
              <w:autoSpaceDE w:val="0"/>
              <w:autoSpaceDN w:val="0"/>
              <w:jc w:val="center"/>
              <w:rPr>
                <w:kern w:val="0"/>
                <w:szCs w:val="21"/>
              </w:rPr>
            </w:pPr>
            <w:r>
              <w:rPr>
                <w:rFonts w:hint="eastAsia"/>
                <w:kern w:val="0"/>
                <w:szCs w:val="21"/>
              </w:rPr>
              <w:t>0.3</w:t>
            </w:r>
          </w:p>
        </w:tc>
        <w:tc>
          <w:tcPr>
            <w:tcW w:w="1139" w:type="pct"/>
            <w:tcBorders>
              <w:top w:val="single" w:color="auto" w:sz="6" w:space="0"/>
              <w:bottom w:val="single" w:color="auto" w:sz="6" w:space="0"/>
            </w:tcBorders>
            <w:vAlign w:val="center"/>
          </w:tcPr>
          <w:p>
            <w:pPr>
              <w:widowControl/>
              <w:jc w:val="center"/>
              <w:rPr>
                <w:kern w:val="0"/>
                <w:szCs w:val="21"/>
              </w:rPr>
            </w:pPr>
            <w:r>
              <w:rPr>
                <w:rFonts w:hint="eastAsia"/>
                <w:kern w:val="0"/>
                <w:szCs w:val="21"/>
              </w:rPr>
              <w:t>工信部《绿色园区评价要求》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10" w:type="pct"/>
            <w:vMerge w:val="continue"/>
            <w:vAlign w:val="center"/>
          </w:tcPr>
          <w:p>
            <w:pPr>
              <w:widowControl/>
              <w:jc w:val="left"/>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6" w:space="0"/>
            </w:tcBorders>
            <w:vAlign w:val="center"/>
          </w:tcPr>
          <w:p>
            <w:pPr>
              <w:autoSpaceDE w:val="0"/>
              <w:autoSpaceDN w:val="0"/>
              <w:rPr>
                <w:kern w:val="0"/>
                <w:szCs w:val="21"/>
              </w:rPr>
            </w:pPr>
            <w:r>
              <w:rPr>
                <w:kern w:val="0"/>
                <w:szCs w:val="21"/>
              </w:rPr>
              <w:t>1</w:t>
            </w:r>
            <w:r>
              <w:rPr>
                <w:rFonts w:hint="eastAsia"/>
                <w:kern w:val="0"/>
                <w:szCs w:val="21"/>
              </w:rPr>
              <w:t>8</w:t>
            </w:r>
            <w:r>
              <w:rPr>
                <w:kern w:val="0"/>
                <w:szCs w:val="21"/>
              </w:rPr>
              <w:t>.单位工业增加值</w:t>
            </w:r>
            <w:r>
              <w:rPr>
                <w:szCs w:val="21"/>
              </w:rPr>
              <w:t>碳排放量</w:t>
            </w:r>
            <w:r>
              <w:rPr>
                <w:kern w:val="0"/>
                <w:szCs w:val="21"/>
              </w:rPr>
              <w:t>（</w:t>
            </w:r>
            <w:r>
              <w:rPr>
                <w:rFonts w:hint="eastAsia"/>
                <w:kern w:val="0"/>
                <w:szCs w:val="21"/>
              </w:rPr>
              <w:t>t</w:t>
            </w:r>
            <w:r>
              <w:rPr>
                <w:kern w:val="0"/>
                <w:szCs w:val="21"/>
              </w:rPr>
              <w:t>/万元）</w:t>
            </w:r>
          </w:p>
        </w:tc>
        <w:tc>
          <w:tcPr>
            <w:tcW w:w="538" w:type="pct"/>
            <w:tcBorders>
              <w:top w:val="single" w:color="auto" w:sz="6" w:space="0"/>
            </w:tcBorders>
            <w:vAlign w:val="center"/>
          </w:tcPr>
          <w:p>
            <w:pPr>
              <w:widowControl/>
              <w:jc w:val="center"/>
              <w:rPr>
                <w:kern w:val="0"/>
                <w:szCs w:val="21"/>
              </w:rPr>
            </w:pPr>
            <w:r>
              <w:rPr>
                <w:rFonts w:hint="eastAsia"/>
                <w:kern w:val="0"/>
                <w:szCs w:val="21"/>
              </w:rPr>
              <w:t>0.8</w:t>
            </w:r>
          </w:p>
        </w:tc>
        <w:tc>
          <w:tcPr>
            <w:tcW w:w="1139" w:type="pct"/>
            <w:tcBorders>
              <w:top w:val="single" w:color="auto" w:sz="6" w:space="0"/>
            </w:tcBorders>
            <w:vAlign w:val="center"/>
          </w:tcPr>
          <w:p>
            <w:pPr>
              <w:widowControl/>
              <w:jc w:val="center"/>
              <w:rPr>
                <w:kern w:val="0"/>
                <w:szCs w:val="21"/>
              </w:rPr>
            </w:pPr>
            <w:r>
              <w:rPr>
                <w:rFonts w:hint="eastAsia"/>
                <w:kern w:val="0"/>
                <w:szCs w:val="21"/>
              </w:rPr>
              <w:t>上海市《绿色产业园区评价导则》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double" w:color="auto" w:sz="4" w:space="0"/>
            </w:tcBorders>
            <w:vAlign w:val="center"/>
          </w:tcPr>
          <w:p>
            <w:pPr>
              <w:widowControl/>
              <w:jc w:val="center"/>
              <w:rPr>
                <w:b/>
                <w:kern w:val="0"/>
                <w:szCs w:val="21"/>
              </w:rPr>
            </w:pPr>
            <w:r>
              <w:rPr>
                <w:b/>
                <w:kern w:val="0"/>
                <w:szCs w:val="21"/>
              </w:rPr>
              <w:t>园区管理与基础设施指标</w:t>
            </w:r>
          </w:p>
        </w:tc>
        <w:tc>
          <w:tcPr>
            <w:tcW w:w="707" w:type="pct"/>
            <w:vMerge w:val="restart"/>
            <w:tcBorders>
              <w:top w:val="double" w:color="auto" w:sz="4" w:space="0"/>
            </w:tcBorders>
            <w:vAlign w:val="center"/>
          </w:tcPr>
          <w:p>
            <w:pPr>
              <w:widowControl/>
              <w:jc w:val="center"/>
              <w:rPr>
                <w:kern w:val="0"/>
                <w:szCs w:val="21"/>
              </w:rPr>
            </w:pPr>
            <w:r>
              <w:rPr>
                <w:kern w:val="0"/>
                <w:szCs w:val="21"/>
              </w:rPr>
              <w:t>园区管理</w:t>
            </w:r>
          </w:p>
        </w:tc>
        <w:tc>
          <w:tcPr>
            <w:tcW w:w="1905" w:type="pct"/>
            <w:tcBorders>
              <w:top w:val="double" w:color="auto" w:sz="4" w:space="0"/>
            </w:tcBorders>
            <w:vAlign w:val="center"/>
          </w:tcPr>
          <w:p>
            <w:pPr>
              <w:widowControl/>
              <w:jc w:val="left"/>
              <w:rPr>
                <w:kern w:val="0"/>
                <w:szCs w:val="21"/>
              </w:rPr>
            </w:pPr>
            <w:r>
              <w:rPr>
                <w:kern w:val="0"/>
                <w:szCs w:val="21"/>
              </w:rPr>
              <w:t>1</w:t>
            </w:r>
            <w:r>
              <w:rPr>
                <w:rFonts w:hint="eastAsia"/>
                <w:kern w:val="0"/>
                <w:szCs w:val="21"/>
              </w:rPr>
              <w:t>9</w:t>
            </w:r>
            <w:r>
              <w:rPr>
                <w:kern w:val="0"/>
                <w:szCs w:val="21"/>
              </w:rPr>
              <w:t>.园区上下游产业链关联度</w:t>
            </w:r>
          </w:p>
        </w:tc>
        <w:tc>
          <w:tcPr>
            <w:tcW w:w="538" w:type="pct"/>
            <w:tcBorders>
              <w:top w:val="double" w:color="auto" w:sz="4" w:space="0"/>
            </w:tcBorders>
            <w:vAlign w:val="center"/>
          </w:tcPr>
          <w:p>
            <w:pPr>
              <w:widowControl/>
              <w:jc w:val="center"/>
              <w:rPr>
                <w:kern w:val="0"/>
                <w:szCs w:val="21"/>
              </w:rPr>
            </w:pPr>
            <w:r>
              <w:rPr>
                <w:rFonts w:hint="eastAsia"/>
                <w:kern w:val="0"/>
                <w:szCs w:val="21"/>
              </w:rPr>
              <w:t>70%</w:t>
            </w:r>
          </w:p>
        </w:tc>
        <w:tc>
          <w:tcPr>
            <w:tcW w:w="1139" w:type="pct"/>
            <w:tcBorders>
              <w:top w:val="double" w:color="auto" w:sz="4" w:space="0"/>
            </w:tcBorders>
            <w:vAlign w:val="center"/>
          </w:tcPr>
          <w:p>
            <w:pPr>
              <w:widowControl/>
              <w:jc w:val="center"/>
              <w:rPr>
                <w:kern w:val="0"/>
                <w:szCs w:val="21"/>
              </w:rPr>
            </w:pPr>
            <w:r>
              <w:rPr>
                <w:rFonts w:hint="eastAsia"/>
                <w:kern w:val="0"/>
                <w:szCs w:val="21"/>
              </w:rPr>
              <w:t>上海市《绿色产业园区评价导则》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rFonts w:hint="eastAsia"/>
                <w:kern w:val="0"/>
                <w:szCs w:val="21"/>
              </w:rPr>
              <w:t>20</w:t>
            </w:r>
            <w:r>
              <w:rPr>
                <w:kern w:val="0"/>
                <w:szCs w:val="21"/>
              </w:rPr>
              <w:t>.园区管理机构通过ISO14000和ISO9001认证</w:t>
            </w:r>
          </w:p>
        </w:tc>
        <w:tc>
          <w:tcPr>
            <w:tcW w:w="538" w:type="pct"/>
            <w:vAlign w:val="center"/>
          </w:tcPr>
          <w:p>
            <w:pPr>
              <w:widowControl/>
              <w:jc w:val="center"/>
              <w:rPr>
                <w:kern w:val="0"/>
                <w:szCs w:val="21"/>
              </w:rPr>
            </w:pPr>
            <w:r>
              <w:rPr>
                <w:rFonts w:hint="eastAsia"/>
                <w:kern w:val="0"/>
                <w:szCs w:val="21"/>
              </w:rPr>
              <w:t>通过</w:t>
            </w:r>
          </w:p>
        </w:tc>
        <w:tc>
          <w:tcPr>
            <w:tcW w:w="1139" w:type="pct"/>
            <w:vAlign w:val="center"/>
          </w:tcPr>
          <w:p>
            <w:pPr>
              <w:widowControl/>
              <w:jc w:val="center"/>
              <w:rPr>
                <w:kern w:val="0"/>
                <w:szCs w:val="21"/>
              </w:rPr>
            </w:pPr>
            <w:r>
              <w:rPr>
                <w:rFonts w:hint="eastAsia"/>
                <w:kern w:val="0"/>
                <w:szCs w:val="21"/>
              </w:rPr>
              <w:t>上海市《绿色产业园区评价导则》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2</w:t>
            </w:r>
            <w:r>
              <w:rPr>
                <w:rFonts w:hint="eastAsia"/>
                <w:kern w:val="0"/>
                <w:szCs w:val="21"/>
              </w:rPr>
              <w:t>1</w:t>
            </w:r>
            <w:r>
              <w:rPr>
                <w:kern w:val="0"/>
                <w:szCs w:val="21"/>
              </w:rPr>
              <w:t>.工业绿色园区信息服务平台</w:t>
            </w:r>
          </w:p>
        </w:tc>
        <w:tc>
          <w:tcPr>
            <w:tcW w:w="538" w:type="pct"/>
          </w:tcPr>
          <w:p>
            <w:pPr>
              <w:widowControl/>
              <w:jc w:val="center"/>
              <w:rPr>
                <w:kern w:val="0"/>
                <w:szCs w:val="21"/>
              </w:rPr>
            </w:pPr>
            <w:r>
              <w:rPr>
                <w:rFonts w:hint="eastAsia"/>
                <w:kern w:val="0"/>
                <w:szCs w:val="21"/>
              </w:rPr>
              <w:t>设立</w:t>
            </w:r>
          </w:p>
        </w:tc>
        <w:tc>
          <w:tcPr>
            <w:tcW w:w="1139" w:type="pct"/>
          </w:tcPr>
          <w:p>
            <w:pPr>
              <w:widowControl/>
              <w:jc w:val="center"/>
              <w:rPr>
                <w:kern w:val="0"/>
                <w:szCs w:val="21"/>
              </w:rPr>
            </w:pPr>
            <w:r>
              <w:rPr>
                <w:rFonts w:hint="eastAsia"/>
                <w:kern w:val="0"/>
                <w:szCs w:val="21"/>
              </w:rPr>
              <w:t>上海市《绿色产业园区评价导则》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2</w:t>
            </w:r>
            <w:r>
              <w:rPr>
                <w:rFonts w:hint="eastAsia"/>
                <w:kern w:val="0"/>
                <w:szCs w:val="21"/>
              </w:rPr>
              <w:t>2</w:t>
            </w:r>
            <w:r>
              <w:rPr>
                <w:kern w:val="0"/>
                <w:szCs w:val="21"/>
              </w:rPr>
              <w:t>.工业绿色园区生产和市场配套服务平台</w:t>
            </w:r>
          </w:p>
        </w:tc>
        <w:tc>
          <w:tcPr>
            <w:tcW w:w="538" w:type="pct"/>
          </w:tcPr>
          <w:p>
            <w:pPr>
              <w:widowControl/>
              <w:jc w:val="center"/>
              <w:rPr>
                <w:kern w:val="0"/>
                <w:szCs w:val="21"/>
              </w:rPr>
            </w:pPr>
            <w:r>
              <w:rPr>
                <w:rFonts w:hint="eastAsia"/>
                <w:kern w:val="0"/>
                <w:szCs w:val="21"/>
              </w:rPr>
              <w:t>设立</w:t>
            </w:r>
          </w:p>
        </w:tc>
        <w:tc>
          <w:tcPr>
            <w:tcW w:w="1139" w:type="pct"/>
          </w:tcPr>
          <w:p>
            <w:pPr>
              <w:widowControl/>
              <w:jc w:val="center"/>
              <w:rPr>
                <w:kern w:val="0"/>
                <w:szCs w:val="21"/>
              </w:rPr>
            </w:pPr>
            <w:r>
              <w:rPr>
                <w:rFonts w:hint="eastAsia"/>
                <w:kern w:val="0"/>
                <w:szCs w:val="21"/>
              </w:rPr>
              <w:t>上海市《绿色产业园区评价导则》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ind w:left="1680" w:hanging="1680" w:hangingChars="800"/>
              <w:jc w:val="left"/>
              <w:rPr>
                <w:kern w:val="0"/>
                <w:szCs w:val="21"/>
              </w:rPr>
            </w:pPr>
            <w:r>
              <w:rPr>
                <w:kern w:val="0"/>
                <w:szCs w:val="21"/>
              </w:rPr>
              <w:t>2</w:t>
            </w:r>
            <w:r>
              <w:rPr>
                <w:rFonts w:hint="eastAsia"/>
                <w:kern w:val="0"/>
                <w:szCs w:val="21"/>
              </w:rPr>
              <w:t>3</w:t>
            </w:r>
            <w:r>
              <w:rPr>
                <w:kern w:val="0"/>
                <w:szCs w:val="21"/>
              </w:rPr>
              <w:t>.设立绿色园区发展资金</w:t>
            </w:r>
          </w:p>
        </w:tc>
        <w:tc>
          <w:tcPr>
            <w:tcW w:w="538" w:type="pct"/>
          </w:tcPr>
          <w:p>
            <w:pPr>
              <w:widowControl/>
              <w:jc w:val="center"/>
              <w:rPr>
                <w:kern w:val="0"/>
                <w:szCs w:val="21"/>
              </w:rPr>
            </w:pPr>
            <w:r>
              <w:rPr>
                <w:rFonts w:hint="eastAsia"/>
                <w:kern w:val="0"/>
                <w:szCs w:val="21"/>
              </w:rPr>
              <w:t>设立</w:t>
            </w:r>
          </w:p>
        </w:tc>
        <w:tc>
          <w:tcPr>
            <w:tcW w:w="1139" w:type="pct"/>
          </w:tcPr>
          <w:p>
            <w:pPr>
              <w:widowControl/>
              <w:jc w:val="center"/>
              <w:rPr>
                <w:kern w:val="0"/>
                <w:szCs w:val="21"/>
              </w:rPr>
            </w:pPr>
            <w:r>
              <w:rPr>
                <w:rFonts w:hint="eastAsia"/>
                <w:kern w:val="0"/>
                <w:szCs w:val="21"/>
              </w:rPr>
              <w:t>上海市《绿色产业园区评价导则》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restart"/>
            <w:vAlign w:val="center"/>
          </w:tcPr>
          <w:p>
            <w:pPr>
              <w:widowControl/>
              <w:jc w:val="center"/>
              <w:rPr>
                <w:kern w:val="0"/>
                <w:szCs w:val="21"/>
              </w:rPr>
            </w:pPr>
            <w:r>
              <w:rPr>
                <w:kern w:val="0"/>
                <w:szCs w:val="21"/>
              </w:rPr>
              <w:t>基础设施</w:t>
            </w:r>
          </w:p>
        </w:tc>
        <w:tc>
          <w:tcPr>
            <w:tcW w:w="1905" w:type="pct"/>
            <w:vAlign w:val="center"/>
          </w:tcPr>
          <w:p>
            <w:pPr>
              <w:widowControl/>
              <w:jc w:val="left"/>
              <w:rPr>
                <w:kern w:val="0"/>
                <w:szCs w:val="21"/>
              </w:rPr>
            </w:pPr>
            <w:r>
              <w:rPr>
                <w:kern w:val="0"/>
                <w:szCs w:val="21"/>
              </w:rPr>
              <w:t>2</w:t>
            </w:r>
            <w:r>
              <w:rPr>
                <w:rFonts w:hint="eastAsia"/>
                <w:kern w:val="0"/>
                <w:szCs w:val="21"/>
              </w:rPr>
              <w:t>4</w:t>
            </w:r>
            <w:r>
              <w:rPr>
                <w:kern w:val="0"/>
                <w:szCs w:val="21"/>
              </w:rPr>
              <w:t>.污水集中处理设施</w:t>
            </w:r>
          </w:p>
        </w:tc>
        <w:tc>
          <w:tcPr>
            <w:tcW w:w="538" w:type="pct"/>
            <w:vAlign w:val="center"/>
          </w:tcPr>
          <w:p>
            <w:pPr>
              <w:widowControl/>
              <w:jc w:val="center"/>
              <w:rPr>
                <w:szCs w:val="21"/>
              </w:rPr>
            </w:pPr>
            <w:r>
              <w:rPr>
                <w:rFonts w:hint="eastAsia"/>
                <w:szCs w:val="21"/>
              </w:rPr>
              <w:t>设置</w:t>
            </w:r>
          </w:p>
        </w:tc>
        <w:tc>
          <w:tcPr>
            <w:tcW w:w="1139" w:type="pct"/>
            <w:vAlign w:val="center"/>
          </w:tcPr>
          <w:p>
            <w:pPr>
              <w:widowControl/>
              <w:jc w:val="center"/>
              <w:rPr>
                <w:kern w:val="0"/>
                <w:szCs w:val="21"/>
              </w:rPr>
            </w:pPr>
            <w:r>
              <w:rPr>
                <w:rFonts w:hint="eastAsia"/>
                <w:kern w:val="0"/>
                <w:szCs w:val="21"/>
              </w:rPr>
              <w:t>调研情况、专家咨询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2</w:t>
            </w:r>
            <w:r>
              <w:rPr>
                <w:rFonts w:hint="eastAsia"/>
                <w:kern w:val="0"/>
                <w:szCs w:val="21"/>
              </w:rPr>
              <w:t>5</w:t>
            </w:r>
            <w:r>
              <w:rPr>
                <w:kern w:val="0"/>
                <w:szCs w:val="21"/>
              </w:rPr>
              <w:t>.集中供热，热电联产</w:t>
            </w:r>
          </w:p>
        </w:tc>
        <w:tc>
          <w:tcPr>
            <w:tcW w:w="538" w:type="pct"/>
            <w:vAlign w:val="center"/>
          </w:tcPr>
          <w:p>
            <w:pPr>
              <w:widowControl/>
              <w:jc w:val="center"/>
              <w:rPr>
                <w:szCs w:val="21"/>
              </w:rPr>
            </w:pPr>
            <w:r>
              <w:rPr>
                <w:rFonts w:hint="eastAsia"/>
                <w:szCs w:val="21"/>
              </w:rPr>
              <w:t>设置</w:t>
            </w:r>
          </w:p>
        </w:tc>
        <w:tc>
          <w:tcPr>
            <w:tcW w:w="1139" w:type="pct"/>
            <w:vAlign w:val="center"/>
          </w:tcPr>
          <w:p>
            <w:pPr>
              <w:widowControl/>
              <w:jc w:val="center"/>
              <w:rPr>
                <w:kern w:val="0"/>
                <w:szCs w:val="21"/>
              </w:rPr>
            </w:pPr>
            <w:r>
              <w:rPr>
                <w:rFonts w:hint="eastAsia"/>
                <w:kern w:val="0"/>
                <w:szCs w:val="21"/>
              </w:rPr>
              <w:t>调研情况、专家咨询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2</w:t>
            </w:r>
            <w:r>
              <w:rPr>
                <w:rFonts w:hint="eastAsia"/>
                <w:kern w:val="0"/>
                <w:szCs w:val="21"/>
              </w:rPr>
              <w:t>6</w:t>
            </w:r>
            <w:r>
              <w:rPr>
                <w:kern w:val="0"/>
                <w:szCs w:val="21"/>
              </w:rPr>
              <w:t>.危险废物处置中心</w:t>
            </w:r>
          </w:p>
        </w:tc>
        <w:tc>
          <w:tcPr>
            <w:tcW w:w="538" w:type="pct"/>
            <w:vAlign w:val="center"/>
          </w:tcPr>
          <w:p>
            <w:pPr>
              <w:widowControl/>
              <w:jc w:val="center"/>
              <w:rPr>
                <w:szCs w:val="21"/>
              </w:rPr>
            </w:pPr>
            <w:r>
              <w:rPr>
                <w:rFonts w:hint="eastAsia"/>
                <w:szCs w:val="21"/>
              </w:rPr>
              <w:t>设置</w:t>
            </w:r>
          </w:p>
        </w:tc>
        <w:tc>
          <w:tcPr>
            <w:tcW w:w="1139" w:type="pct"/>
            <w:vAlign w:val="center"/>
          </w:tcPr>
          <w:p>
            <w:pPr>
              <w:widowControl/>
              <w:jc w:val="center"/>
              <w:rPr>
                <w:kern w:val="0"/>
                <w:szCs w:val="21"/>
              </w:rPr>
            </w:pPr>
            <w:r>
              <w:rPr>
                <w:rFonts w:hint="eastAsia"/>
                <w:kern w:val="0"/>
                <w:szCs w:val="21"/>
              </w:rPr>
              <w:t>调研情况、专家咨询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2</w:t>
            </w:r>
            <w:r>
              <w:rPr>
                <w:rFonts w:hint="eastAsia"/>
                <w:kern w:val="0"/>
                <w:szCs w:val="21"/>
              </w:rPr>
              <w:t>7</w:t>
            </w:r>
            <w:r>
              <w:rPr>
                <w:kern w:val="0"/>
                <w:szCs w:val="21"/>
              </w:rPr>
              <w:t>.园区绿化覆盖率</w:t>
            </w:r>
          </w:p>
        </w:tc>
        <w:tc>
          <w:tcPr>
            <w:tcW w:w="538" w:type="pct"/>
            <w:vAlign w:val="center"/>
          </w:tcPr>
          <w:p>
            <w:pPr>
              <w:widowControl/>
              <w:jc w:val="center"/>
              <w:rPr>
                <w:szCs w:val="21"/>
              </w:rPr>
            </w:pPr>
            <w:r>
              <w:rPr>
                <w:rFonts w:hint="eastAsia"/>
                <w:szCs w:val="21"/>
              </w:rPr>
              <w:t>20%</w:t>
            </w:r>
          </w:p>
        </w:tc>
        <w:tc>
          <w:tcPr>
            <w:tcW w:w="1139" w:type="pct"/>
            <w:vAlign w:val="center"/>
          </w:tcPr>
          <w:p>
            <w:pPr>
              <w:widowControl/>
              <w:jc w:val="center"/>
              <w:rPr>
                <w:kern w:val="0"/>
                <w:szCs w:val="21"/>
              </w:rPr>
            </w:pPr>
            <w:r>
              <w:rPr>
                <w:rFonts w:hint="eastAsia"/>
                <w:kern w:val="0"/>
                <w:szCs w:val="21"/>
              </w:rPr>
              <w:t>工信部《绿色园区评价要求》、调研数据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2</w:t>
            </w:r>
            <w:r>
              <w:rPr>
                <w:rFonts w:hint="eastAsia"/>
                <w:kern w:val="0"/>
                <w:szCs w:val="21"/>
              </w:rPr>
              <w:t>8</w:t>
            </w:r>
            <w:r>
              <w:rPr>
                <w:kern w:val="0"/>
                <w:szCs w:val="21"/>
              </w:rPr>
              <w:t>.新建工业建筑中绿色建筑的比例</w:t>
            </w:r>
          </w:p>
        </w:tc>
        <w:tc>
          <w:tcPr>
            <w:tcW w:w="538" w:type="pct"/>
            <w:vAlign w:val="center"/>
          </w:tcPr>
          <w:p>
            <w:pPr>
              <w:widowControl/>
              <w:jc w:val="center"/>
              <w:rPr>
                <w:szCs w:val="21"/>
              </w:rPr>
            </w:pPr>
            <w:r>
              <w:rPr>
                <w:rFonts w:hint="eastAsia"/>
                <w:szCs w:val="21"/>
              </w:rPr>
              <w:t>20%</w:t>
            </w:r>
          </w:p>
        </w:tc>
        <w:tc>
          <w:tcPr>
            <w:tcW w:w="1139" w:type="pct"/>
            <w:vAlign w:val="center"/>
          </w:tcPr>
          <w:p>
            <w:pPr>
              <w:widowControl/>
              <w:jc w:val="center"/>
              <w:rPr>
                <w:kern w:val="0"/>
                <w:szCs w:val="21"/>
              </w:rPr>
            </w:pPr>
            <w:r>
              <w:rPr>
                <w:rFonts w:hint="eastAsia"/>
                <w:kern w:val="0"/>
                <w:szCs w:val="21"/>
              </w:rPr>
              <w:t>工信部《绿色园区评价要求》、调研数据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bottom w:val="double" w:color="auto" w:sz="4" w:space="0"/>
            </w:tcBorders>
            <w:vAlign w:val="center"/>
          </w:tcPr>
          <w:p>
            <w:pPr>
              <w:widowControl/>
              <w:jc w:val="center"/>
              <w:rPr>
                <w:kern w:val="0"/>
                <w:szCs w:val="21"/>
              </w:rPr>
            </w:pPr>
          </w:p>
        </w:tc>
        <w:tc>
          <w:tcPr>
            <w:tcW w:w="707" w:type="pct"/>
            <w:vMerge w:val="continue"/>
            <w:tcBorders>
              <w:bottom w:val="double" w:color="auto" w:sz="4" w:space="0"/>
            </w:tcBorders>
            <w:vAlign w:val="center"/>
          </w:tcPr>
          <w:p>
            <w:pPr>
              <w:widowControl/>
              <w:jc w:val="center"/>
              <w:rPr>
                <w:kern w:val="0"/>
                <w:szCs w:val="21"/>
              </w:rPr>
            </w:pPr>
          </w:p>
        </w:tc>
        <w:tc>
          <w:tcPr>
            <w:tcW w:w="1905" w:type="pct"/>
            <w:tcBorders>
              <w:bottom w:val="double" w:color="auto" w:sz="4" w:space="0"/>
            </w:tcBorders>
            <w:vAlign w:val="center"/>
          </w:tcPr>
          <w:p>
            <w:pPr>
              <w:widowControl/>
              <w:jc w:val="left"/>
              <w:rPr>
                <w:kern w:val="0"/>
                <w:szCs w:val="21"/>
              </w:rPr>
            </w:pPr>
            <w:r>
              <w:rPr>
                <w:kern w:val="0"/>
                <w:szCs w:val="21"/>
              </w:rPr>
              <w:t>2</w:t>
            </w:r>
            <w:r>
              <w:rPr>
                <w:rFonts w:hint="eastAsia"/>
                <w:kern w:val="0"/>
                <w:szCs w:val="21"/>
              </w:rPr>
              <w:t>9</w:t>
            </w:r>
            <w:r>
              <w:rPr>
                <w:kern w:val="0"/>
                <w:szCs w:val="21"/>
              </w:rPr>
              <w:t>.新建公共建筑中绿色建筑的比例</w:t>
            </w:r>
            <w:r>
              <w:rPr>
                <w:b/>
                <w:i/>
                <w:kern w:val="0"/>
                <w:szCs w:val="21"/>
              </w:rPr>
              <w:t>（2</w:t>
            </w:r>
            <w:r>
              <w:rPr>
                <w:rFonts w:hint="eastAsia"/>
                <w:b/>
                <w:i/>
                <w:kern w:val="0"/>
                <w:szCs w:val="21"/>
              </w:rPr>
              <w:t>8</w:t>
            </w:r>
            <w:r>
              <w:rPr>
                <w:b/>
                <w:i/>
                <w:kern w:val="0"/>
                <w:szCs w:val="21"/>
              </w:rPr>
              <w:t>.2</w:t>
            </w:r>
            <w:r>
              <w:rPr>
                <w:rFonts w:hint="eastAsia"/>
                <w:b/>
                <w:i/>
                <w:kern w:val="0"/>
                <w:szCs w:val="21"/>
              </w:rPr>
              <w:t>9</w:t>
            </w:r>
            <w:r>
              <w:rPr>
                <w:b/>
                <w:i/>
                <w:kern w:val="0"/>
                <w:szCs w:val="21"/>
              </w:rPr>
              <w:t xml:space="preserve"> 二选一）</w:t>
            </w:r>
          </w:p>
        </w:tc>
        <w:tc>
          <w:tcPr>
            <w:tcW w:w="538" w:type="pct"/>
            <w:tcBorders>
              <w:bottom w:val="double" w:color="auto" w:sz="4" w:space="0"/>
            </w:tcBorders>
            <w:vAlign w:val="center"/>
          </w:tcPr>
          <w:p>
            <w:pPr>
              <w:widowControl/>
              <w:jc w:val="center"/>
              <w:rPr>
                <w:szCs w:val="21"/>
              </w:rPr>
            </w:pPr>
            <w:r>
              <w:rPr>
                <w:rFonts w:hint="eastAsia"/>
                <w:szCs w:val="21"/>
              </w:rPr>
              <w:t>30%</w:t>
            </w:r>
          </w:p>
        </w:tc>
        <w:tc>
          <w:tcPr>
            <w:tcW w:w="1139" w:type="pct"/>
            <w:tcBorders>
              <w:bottom w:val="double" w:color="auto" w:sz="4" w:space="0"/>
            </w:tcBorders>
            <w:vAlign w:val="center"/>
          </w:tcPr>
          <w:p>
            <w:pPr>
              <w:widowControl/>
              <w:jc w:val="center"/>
              <w:rPr>
                <w:kern w:val="0"/>
                <w:szCs w:val="21"/>
              </w:rPr>
            </w:pPr>
            <w:r>
              <w:rPr>
                <w:rFonts w:hint="eastAsia"/>
                <w:kern w:val="0"/>
                <w:szCs w:val="21"/>
              </w:rPr>
              <w:t>工信部《绿色园区评价要求》、上海市《绿色产业园区评价导则》、调研数据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double" w:color="auto" w:sz="4" w:space="0"/>
            </w:tcBorders>
            <w:vAlign w:val="center"/>
          </w:tcPr>
          <w:p>
            <w:pPr>
              <w:widowControl/>
              <w:jc w:val="center"/>
              <w:rPr>
                <w:kern w:val="0"/>
                <w:szCs w:val="21"/>
              </w:rPr>
            </w:pPr>
            <w:r>
              <w:rPr>
                <w:b/>
                <w:kern w:val="0"/>
                <w:szCs w:val="21"/>
              </w:rPr>
              <w:t>产业绿色指标</w:t>
            </w:r>
          </w:p>
        </w:tc>
        <w:tc>
          <w:tcPr>
            <w:tcW w:w="707" w:type="pct"/>
            <w:vMerge w:val="restart"/>
            <w:tcBorders>
              <w:top w:val="double" w:color="auto" w:sz="4" w:space="0"/>
            </w:tcBorders>
            <w:vAlign w:val="center"/>
          </w:tcPr>
          <w:p>
            <w:pPr>
              <w:jc w:val="center"/>
              <w:rPr>
                <w:kern w:val="0"/>
                <w:szCs w:val="21"/>
              </w:rPr>
            </w:pPr>
            <w:r>
              <w:rPr>
                <w:kern w:val="0"/>
                <w:szCs w:val="21"/>
              </w:rPr>
              <w:t>产业绿色</w:t>
            </w:r>
          </w:p>
        </w:tc>
        <w:tc>
          <w:tcPr>
            <w:tcW w:w="1905" w:type="pct"/>
            <w:tcBorders>
              <w:top w:val="double" w:color="auto" w:sz="4" w:space="0"/>
              <w:bottom w:val="single" w:color="auto" w:sz="4" w:space="0"/>
            </w:tcBorders>
            <w:vAlign w:val="center"/>
          </w:tcPr>
          <w:p>
            <w:pPr>
              <w:widowControl/>
              <w:jc w:val="left"/>
              <w:rPr>
                <w:rFonts w:eastAsia="仿宋_GB2312"/>
                <w:kern w:val="0"/>
                <w:szCs w:val="21"/>
              </w:rPr>
            </w:pPr>
            <w:r>
              <w:rPr>
                <w:rFonts w:hint="eastAsia"/>
                <w:kern w:val="0"/>
                <w:szCs w:val="21"/>
              </w:rPr>
              <w:t>30</w:t>
            </w:r>
            <w:r>
              <w:rPr>
                <w:kern w:val="0"/>
                <w:szCs w:val="21"/>
              </w:rPr>
              <w:t>.人均工业增加值（万元/人）</w:t>
            </w:r>
            <w:r>
              <w:rPr>
                <w:rFonts w:eastAsia="仿宋_GB2312"/>
                <w:kern w:val="0"/>
                <w:szCs w:val="21"/>
              </w:rPr>
              <w:t xml:space="preserve"> </w:t>
            </w:r>
          </w:p>
        </w:tc>
        <w:tc>
          <w:tcPr>
            <w:tcW w:w="538" w:type="pct"/>
            <w:tcBorders>
              <w:top w:val="double" w:color="auto" w:sz="4" w:space="0"/>
              <w:bottom w:val="single" w:color="auto" w:sz="4" w:space="0"/>
            </w:tcBorders>
            <w:vAlign w:val="center"/>
          </w:tcPr>
          <w:p>
            <w:pPr>
              <w:widowControl/>
              <w:jc w:val="center"/>
              <w:rPr>
                <w:szCs w:val="21"/>
              </w:rPr>
            </w:pPr>
            <w:r>
              <w:rPr>
                <w:rFonts w:hint="eastAsia"/>
                <w:szCs w:val="21"/>
              </w:rPr>
              <w:t>25</w:t>
            </w:r>
          </w:p>
        </w:tc>
        <w:tc>
          <w:tcPr>
            <w:tcW w:w="1139" w:type="pct"/>
            <w:tcBorders>
              <w:top w:val="double" w:color="auto" w:sz="4" w:space="0"/>
              <w:bottom w:val="single" w:color="auto" w:sz="4" w:space="0"/>
            </w:tcBorders>
            <w:vAlign w:val="center"/>
          </w:tcPr>
          <w:p>
            <w:pPr>
              <w:widowControl/>
              <w:jc w:val="center"/>
              <w:rPr>
                <w:kern w:val="0"/>
                <w:szCs w:val="21"/>
              </w:rPr>
            </w:pPr>
            <w:r>
              <w:rPr>
                <w:rFonts w:hint="eastAsia"/>
                <w:kern w:val="0"/>
                <w:szCs w:val="21"/>
              </w:rPr>
              <w:t>工信部《绿色园区评价要求》、调研数据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4" w:space="0"/>
            </w:tcBorders>
            <w:vAlign w:val="center"/>
          </w:tcPr>
          <w:p>
            <w:pPr>
              <w:widowControl/>
              <w:jc w:val="left"/>
              <w:rPr>
                <w:kern w:val="0"/>
                <w:szCs w:val="21"/>
              </w:rPr>
            </w:pPr>
            <w:r>
              <w:rPr>
                <w:kern w:val="0"/>
                <w:szCs w:val="21"/>
              </w:rPr>
              <w:t>3</w:t>
            </w:r>
            <w:r>
              <w:rPr>
                <w:rFonts w:hint="eastAsia"/>
                <w:kern w:val="0"/>
                <w:szCs w:val="21"/>
              </w:rPr>
              <w:t>1</w:t>
            </w:r>
            <w:r>
              <w:rPr>
                <w:kern w:val="0"/>
                <w:szCs w:val="21"/>
              </w:rPr>
              <w:t>.</w:t>
            </w:r>
            <w:r>
              <w:rPr>
                <w:rFonts w:hint="eastAsia"/>
                <w:kern w:val="0"/>
                <w:szCs w:val="21"/>
              </w:rPr>
              <w:t>绿色</w:t>
            </w:r>
            <w:r>
              <w:rPr>
                <w:kern w:val="0"/>
                <w:szCs w:val="21"/>
              </w:rPr>
              <w:t>合成革生产线的投放比例</w:t>
            </w:r>
          </w:p>
        </w:tc>
        <w:tc>
          <w:tcPr>
            <w:tcW w:w="538" w:type="pct"/>
            <w:tcBorders>
              <w:top w:val="single" w:color="auto" w:sz="4" w:space="0"/>
            </w:tcBorders>
            <w:vAlign w:val="center"/>
          </w:tcPr>
          <w:p>
            <w:pPr>
              <w:widowControl/>
              <w:jc w:val="center"/>
              <w:rPr>
                <w:szCs w:val="21"/>
              </w:rPr>
            </w:pPr>
            <w:r>
              <w:rPr>
                <w:rFonts w:hint="eastAsia"/>
                <w:szCs w:val="21"/>
              </w:rPr>
              <w:t>10%</w:t>
            </w:r>
          </w:p>
        </w:tc>
        <w:tc>
          <w:tcPr>
            <w:tcW w:w="1139" w:type="pct"/>
            <w:tcBorders>
              <w:top w:val="single" w:color="auto" w:sz="4" w:space="0"/>
            </w:tcBorders>
            <w:vAlign w:val="center"/>
          </w:tcPr>
          <w:p>
            <w:pPr>
              <w:widowControl/>
              <w:jc w:val="center"/>
              <w:rPr>
                <w:kern w:val="0"/>
                <w:szCs w:val="21"/>
              </w:rPr>
            </w:pPr>
            <w:r>
              <w:rPr>
                <w:rFonts w:hint="eastAsia"/>
                <w:kern w:val="0"/>
                <w:szCs w:val="21"/>
              </w:rPr>
              <w:t>调研数据、专家咨询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4" w:space="0"/>
            </w:tcBorders>
            <w:vAlign w:val="center"/>
          </w:tcPr>
          <w:p>
            <w:pPr>
              <w:widowControl/>
              <w:jc w:val="left"/>
              <w:rPr>
                <w:kern w:val="0"/>
                <w:szCs w:val="21"/>
              </w:rPr>
            </w:pPr>
            <w:r>
              <w:rPr>
                <w:kern w:val="0"/>
                <w:szCs w:val="21"/>
              </w:rPr>
              <w:t>3</w:t>
            </w:r>
            <w:r>
              <w:rPr>
                <w:rFonts w:hint="eastAsia"/>
                <w:kern w:val="0"/>
                <w:szCs w:val="21"/>
              </w:rPr>
              <w:t>2</w:t>
            </w:r>
            <w:r>
              <w:rPr>
                <w:kern w:val="0"/>
                <w:szCs w:val="21"/>
              </w:rPr>
              <w:t>.</w:t>
            </w:r>
            <w:r>
              <w:rPr>
                <w:rFonts w:hint="eastAsia"/>
              </w:rPr>
              <w:t xml:space="preserve"> </w:t>
            </w:r>
            <w:r>
              <w:rPr>
                <w:rFonts w:hint="eastAsia"/>
                <w:kern w:val="0"/>
                <w:szCs w:val="21"/>
              </w:rPr>
              <w:t>合成革生产企业达到二级（含）以上清洁生产水平比例</w:t>
            </w:r>
          </w:p>
        </w:tc>
        <w:tc>
          <w:tcPr>
            <w:tcW w:w="538" w:type="pct"/>
            <w:tcBorders>
              <w:top w:val="single" w:color="auto" w:sz="4" w:space="0"/>
            </w:tcBorders>
            <w:vAlign w:val="center"/>
          </w:tcPr>
          <w:p>
            <w:pPr>
              <w:widowControl/>
              <w:jc w:val="center"/>
              <w:rPr>
                <w:szCs w:val="21"/>
              </w:rPr>
            </w:pPr>
            <w:r>
              <w:rPr>
                <w:rFonts w:hint="eastAsia"/>
                <w:szCs w:val="21"/>
              </w:rPr>
              <w:t>50%</w:t>
            </w:r>
          </w:p>
        </w:tc>
        <w:tc>
          <w:tcPr>
            <w:tcW w:w="1139" w:type="pct"/>
            <w:tcBorders>
              <w:top w:val="single" w:color="auto" w:sz="4" w:space="0"/>
            </w:tcBorders>
            <w:vAlign w:val="center"/>
          </w:tcPr>
          <w:p>
            <w:pPr>
              <w:widowControl/>
              <w:jc w:val="center"/>
              <w:rPr>
                <w:kern w:val="0"/>
                <w:szCs w:val="21"/>
              </w:rPr>
            </w:pPr>
            <w:r>
              <w:rPr>
                <w:rFonts w:hint="eastAsia"/>
                <w:kern w:val="0"/>
                <w:szCs w:val="21"/>
              </w:rPr>
              <w:t>调研数据、专家咨询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widowControl/>
              <w:jc w:val="center"/>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4" w:space="0"/>
            </w:tcBorders>
            <w:vAlign w:val="center"/>
          </w:tcPr>
          <w:p>
            <w:pPr>
              <w:widowControl/>
              <w:jc w:val="left"/>
              <w:rPr>
                <w:kern w:val="0"/>
                <w:szCs w:val="21"/>
              </w:rPr>
            </w:pPr>
            <w:r>
              <w:rPr>
                <w:kern w:val="0"/>
                <w:szCs w:val="21"/>
              </w:rPr>
              <w:t>3</w:t>
            </w:r>
            <w:r>
              <w:rPr>
                <w:rFonts w:hint="eastAsia"/>
                <w:kern w:val="0"/>
                <w:szCs w:val="21"/>
              </w:rPr>
              <w:t>3</w:t>
            </w:r>
            <w:r>
              <w:rPr>
                <w:kern w:val="0"/>
                <w:szCs w:val="21"/>
              </w:rPr>
              <w:t>.省级（含）以上高新技术企业占园区企业的比例</w:t>
            </w:r>
          </w:p>
        </w:tc>
        <w:tc>
          <w:tcPr>
            <w:tcW w:w="538" w:type="pct"/>
            <w:tcBorders>
              <w:top w:val="single" w:color="auto" w:sz="4" w:space="0"/>
            </w:tcBorders>
            <w:vAlign w:val="center"/>
          </w:tcPr>
          <w:p>
            <w:pPr>
              <w:widowControl/>
              <w:jc w:val="center"/>
              <w:rPr>
                <w:szCs w:val="21"/>
              </w:rPr>
            </w:pPr>
            <w:r>
              <w:rPr>
                <w:rFonts w:hint="eastAsia"/>
                <w:szCs w:val="21"/>
              </w:rPr>
              <w:t>3%</w:t>
            </w:r>
          </w:p>
        </w:tc>
        <w:tc>
          <w:tcPr>
            <w:tcW w:w="1139" w:type="pct"/>
            <w:tcBorders>
              <w:top w:val="single" w:color="auto" w:sz="4" w:space="0"/>
            </w:tcBorders>
            <w:vAlign w:val="center"/>
          </w:tcPr>
          <w:p>
            <w:pPr>
              <w:widowControl/>
              <w:jc w:val="center"/>
              <w:rPr>
                <w:kern w:val="0"/>
                <w:szCs w:val="21"/>
              </w:rPr>
            </w:pPr>
            <w:r>
              <w:rPr>
                <w:rFonts w:hint="eastAsia"/>
                <w:kern w:val="0"/>
                <w:szCs w:val="21"/>
              </w:rPr>
              <w:t>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bottom w:val="single" w:color="auto" w:sz="4" w:space="0"/>
            </w:tcBorders>
            <w:vAlign w:val="center"/>
          </w:tcPr>
          <w:p>
            <w:pPr>
              <w:widowControl/>
              <w:jc w:val="center"/>
              <w:rPr>
                <w:b/>
                <w:kern w:val="0"/>
                <w:szCs w:val="21"/>
              </w:rPr>
            </w:pPr>
          </w:p>
        </w:tc>
        <w:tc>
          <w:tcPr>
            <w:tcW w:w="707" w:type="pct"/>
            <w:vMerge w:val="continue"/>
            <w:vAlign w:val="center"/>
          </w:tcPr>
          <w:p>
            <w:pPr>
              <w:widowControl/>
              <w:jc w:val="center"/>
              <w:rPr>
                <w:kern w:val="0"/>
                <w:szCs w:val="21"/>
              </w:rPr>
            </w:pPr>
          </w:p>
        </w:tc>
        <w:tc>
          <w:tcPr>
            <w:tcW w:w="1905" w:type="pct"/>
            <w:tcBorders>
              <w:top w:val="single" w:color="auto" w:sz="4" w:space="0"/>
            </w:tcBorders>
            <w:vAlign w:val="center"/>
          </w:tcPr>
          <w:p>
            <w:pPr>
              <w:widowControl/>
              <w:jc w:val="left"/>
              <w:rPr>
                <w:kern w:val="0"/>
                <w:szCs w:val="21"/>
              </w:rPr>
            </w:pPr>
            <w:r>
              <w:rPr>
                <w:kern w:val="0"/>
                <w:szCs w:val="21"/>
              </w:rPr>
              <w:t>3</w:t>
            </w:r>
            <w:r>
              <w:rPr>
                <w:rFonts w:hint="eastAsia"/>
                <w:kern w:val="0"/>
                <w:szCs w:val="21"/>
              </w:rPr>
              <w:t>4</w:t>
            </w:r>
            <w:r>
              <w:rPr>
                <w:kern w:val="0"/>
                <w:szCs w:val="21"/>
              </w:rPr>
              <w:t>.省级（含）以上绿色工厂占园区企业的比例</w:t>
            </w:r>
          </w:p>
        </w:tc>
        <w:tc>
          <w:tcPr>
            <w:tcW w:w="538" w:type="pct"/>
            <w:tcBorders>
              <w:top w:val="single" w:color="auto" w:sz="4" w:space="0"/>
            </w:tcBorders>
            <w:vAlign w:val="center"/>
          </w:tcPr>
          <w:p>
            <w:pPr>
              <w:widowControl/>
              <w:jc w:val="center"/>
              <w:rPr>
                <w:szCs w:val="21"/>
              </w:rPr>
            </w:pPr>
            <w:r>
              <w:rPr>
                <w:rFonts w:hint="eastAsia"/>
                <w:szCs w:val="21"/>
              </w:rPr>
              <w:t>2%</w:t>
            </w:r>
          </w:p>
        </w:tc>
        <w:tc>
          <w:tcPr>
            <w:tcW w:w="1139" w:type="pct"/>
            <w:tcBorders>
              <w:top w:val="single" w:color="auto" w:sz="4" w:space="0"/>
            </w:tcBorders>
            <w:vAlign w:val="center"/>
          </w:tcPr>
          <w:p>
            <w:pPr>
              <w:widowControl/>
              <w:jc w:val="center"/>
              <w:rPr>
                <w:kern w:val="0"/>
                <w:szCs w:val="21"/>
              </w:rPr>
            </w:pPr>
            <w:r>
              <w:rPr>
                <w:rFonts w:hint="eastAsia"/>
                <w:kern w:val="0"/>
                <w:szCs w:val="21"/>
              </w:rPr>
              <w:t>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restart"/>
            <w:tcBorders>
              <w:top w:val="double" w:color="auto" w:sz="4" w:space="0"/>
            </w:tcBorders>
            <w:vAlign w:val="center"/>
          </w:tcPr>
          <w:p>
            <w:pPr>
              <w:widowControl/>
              <w:jc w:val="center"/>
              <w:rPr>
                <w:kern w:val="0"/>
                <w:szCs w:val="21"/>
              </w:rPr>
            </w:pPr>
            <w:r>
              <w:rPr>
                <w:b/>
                <w:kern w:val="0"/>
                <w:szCs w:val="21"/>
              </w:rPr>
              <w:t>重点工程</w:t>
            </w:r>
            <w:r>
              <w:rPr>
                <w:rFonts w:hint="eastAsia"/>
                <w:b/>
                <w:kern w:val="0"/>
                <w:szCs w:val="21"/>
              </w:rPr>
              <w:t>及体系</w:t>
            </w:r>
            <w:r>
              <w:rPr>
                <w:b/>
                <w:kern w:val="0"/>
                <w:szCs w:val="21"/>
              </w:rPr>
              <w:t>建设指标</w:t>
            </w:r>
          </w:p>
        </w:tc>
        <w:tc>
          <w:tcPr>
            <w:tcW w:w="707" w:type="pct"/>
            <w:vMerge w:val="restart"/>
            <w:tcBorders>
              <w:top w:val="double" w:color="auto" w:sz="4" w:space="0"/>
            </w:tcBorders>
            <w:vAlign w:val="center"/>
          </w:tcPr>
          <w:p>
            <w:pPr>
              <w:widowControl/>
              <w:jc w:val="center"/>
              <w:rPr>
                <w:kern w:val="0"/>
                <w:szCs w:val="21"/>
              </w:rPr>
            </w:pPr>
            <w:r>
              <w:rPr>
                <w:kern w:val="0"/>
                <w:szCs w:val="21"/>
              </w:rPr>
              <w:t>重点工程建设</w:t>
            </w:r>
          </w:p>
        </w:tc>
        <w:tc>
          <w:tcPr>
            <w:tcW w:w="1905" w:type="pct"/>
            <w:tcBorders>
              <w:top w:val="double" w:color="auto" w:sz="4" w:space="0"/>
            </w:tcBorders>
            <w:vAlign w:val="center"/>
          </w:tcPr>
          <w:p>
            <w:pPr>
              <w:widowControl/>
              <w:jc w:val="left"/>
              <w:rPr>
                <w:kern w:val="0"/>
                <w:szCs w:val="21"/>
              </w:rPr>
            </w:pPr>
            <w:r>
              <w:rPr>
                <w:kern w:val="0"/>
                <w:szCs w:val="21"/>
              </w:rPr>
              <w:t>3</w:t>
            </w:r>
            <w:r>
              <w:rPr>
                <w:rFonts w:hint="eastAsia"/>
                <w:kern w:val="0"/>
                <w:szCs w:val="21"/>
              </w:rPr>
              <w:t>5</w:t>
            </w:r>
            <w:r>
              <w:rPr>
                <w:kern w:val="0"/>
                <w:szCs w:val="21"/>
              </w:rPr>
              <w:t>.园区公共设施或道路采用绿色照明的比例</w:t>
            </w:r>
          </w:p>
        </w:tc>
        <w:tc>
          <w:tcPr>
            <w:tcW w:w="538" w:type="pct"/>
            <w:tcBorders>
              <w:top w:val="double" w:color="auto" w:sz="4" w:space="0"/>
            </w:tcBorders>
            <w:vAlign w:val="center"/>
          </w:tcPr>
          <w:p>
            <w:pPr>
              <w:widowControl/>
              <w:jc w:val="center"/>
              <w:rPr>
                <w:kern w:val="0"/>
                <w:szCs w:val="21"/>
              </w:rPr>
            </w:pPr>
            <w:r>
              <w:rPr>
                <w:rFonts w:hint="eastAsia"/>
                <w:kern w:val="0"/>
                <w:szCs w:val="21"/>
              </w:rPr>
              <w:t>70%</w:t>
            </w:r>
          </w:p>
        </w:tc>
        <w:tc>
          <w:tcPr>
            <w:tcW w:w="1139" w:type="pct"/>
            <w:tcBorders>
              <w:top w:val="double" w:color="auto" w:sz="4" w:space="0"/>
            </w:tcBorders>
            <w:vAlign w:val="center"/>
          </w:tcPr>
          <w:p>
            <w:pPr>
              <w:widowControl/>
              <w:jc w:val="center"/>
              <w:rPr>
                <w:kern w:val="0"/>
                <w:szCs w:val="21"/>
              </w:rPr>
            </w:pPr>
            <w:r>
              <w:rPr>
                <w:rFonts w:hint="eastAsia"/>
                <w:kern w:val="0"/>
                <w:szCs w:val="21"/>
              </w:rPr>
              <w:t>上海市《绿色产业园区评价导则》、调研数据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top w:val="double" w:color="auto" w:sz="4" w:space="0"/>
            </w:tcBorders>
            <w:vAlign w:val="center"/>
          </w:tcPr>
          <w:p>
            <w:pPr>
              <w:widowControl/>
              <w:jc w:val="left"/>
              <w:rPr>
                <w:kern w:val="0"/>
                <w:szCs w:val="21"/>
              </w:rPr>
            </w:pPr>
          </w:p>
        </w:tc>
        <w:tc>
          <w:tcPr>
            <w:tcW w:w="707" w:type="pct"/>
            <w:vMerge w:val="continue"/>
            <w:vAlign w:val="center"/>
          </w:tcPr>
          <w:p>
            <w:pPr>
              <w:widowControl/>
              <w:jc w:val="center"/>
              <w:rPr>
                <w:kern w:val="0"/>
                <w:szCs w:val="21"/>
              </w:rPr>
            </w:pPr>
          </w:p>
        </w:tc>
        <w:tc>
          <w:tcPr>
            <w:tcW w:w="1905" w:type="pct"/>
            <w:tcBorders>
              <w:bottom w:val="single" w:color="auto" w:sz="4" w:space="0"/>
            </w:tcBorders>
            <w:vAlign w:val="center"/>
          </w:tcPr>
          <w:p>
            <w:pPr>
              <w:jc w:val="left"/>
              <w:rPr>
                <w:kern w:val="0"/>
                <w:szCs w:val="21"/>
              </w:rPr>
            </w:pPr>
            <w:r>
              <w:rPr>
                <w:kern w:val="0"/>
                <w:szCs w:val="21"/>
              </w:rPr>
              <w:t>3</w:t>
            </w:r>
            <w:r>
              <w:rPr>
                <w:rFonts w:hint="eastAsia"/>
                <w:kern w:val="0"/>
                <w:szCs w:val="21"/>
              </w:rPr>
              <w:t>6</w:t>
            </w:r>
            <w:r>
              <w:rPr>
                <w:kern w:val="0"/>
                <w:szCs w:val="21"/>
              </w:rPr>
              <w:t>.烘干炉进行余热回收利用的企业比例</w:t>
            </w:r>
          </w:p>
        </w:tc>
        <w:tc>
          <w:tcPr>
            <w:tcW w:w="538" w:type="pct"/>
            <w:vAlign w:val="center"/>
          </w:tcPr>
          <w:p>
            <w:pPr>
              <w:widowControl/>
              <w:jc w:val="center"/>
              <w:rPr>
                <w:kern w:val="0"/>
                <w:szCs w:val="21"/>
              </w:rPr>
            </w:pPr>
            <w:r>
              <w:rPr>
                <w:rFonts w:hint="eastAsia"/>
                <w:kern w:val="0"/>
                <w:szCs w:val="21"/>
              </w:rPr>
              <w:t>30%</w:t>
            </w:r>
          </w:p>
        </w:tc>
        <w:tc>
          <w:tcPr>
            <w:tcW w:w="1139" w:type="pct"/>
            <w:vAlign w:val="center"/>
          </w:tcPr>
          <w:p>
            <w:pPr>
              <w:widowControl/>
              <w:jc w:val="center"/>
              <w:rPr>
                <w:kern w:val="0"/>
                <w:szCs w:val="21"/>
              </w:rPr>
            </w:pPr>
            <w:r>
              <w:rPr>
                <w:rFonts w:hint="eastAsia"/>
                <w:kern w:val="0"/>
                <w:szCs w:val="21"/>
              </w:rPr>
              <w:t>调研数据、专家咨询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top w:val="double" w:color="auto" w:sz="4" w:space="0"/>
            </w:tcBorders>
            <w:vAlign w:val="center"/>
          </w:tcPr>
          <w:p>
            <w:pPr>
              <w:widowControl/>
              <w:jc w:val="left"/>
              <w:rPr>
                <w:kern w:val="0"/>
                <w:szCs w:val="21"/>
              </w:rPr>
            </w:pPr>
          </w:p>
        </w:tc>
        <w:tc>
          <w:tcPr>
            <w:tcW w:w="707" w:type="pct"/>
            <w:vMerge w:val="continue"/>
            <w:tcBorders>
              <w:bottom w:val="single" w:color="auto" w:sz="4" w:space="0"/>
            </w:tcBorders>
            <w:vAlign w:val="center"/>
          </w:tcPr>
          <w:p>
            <w:pPr>
              <w:jc w:val="center"/>
              <w:rPr>
                <w:kern w:val="0"/>
                <w:szCs w:val="21"/>
              </w:rPr>
            </w:pPr>
          </w:p>
        </w:tc>
        <w:tc>
          <w:tcPr>
            <w:tcW w:w="1905" w:type="pct"/>
            <w:tcBorders>
              <w:top w:val="single" w:color="auto" w:sz="4" w:space="0"/>
            </w:tcBorders>
            <w:vAlign w:val="center"/>
          </w:tcPr>
          <w:p>
            <w:pPr>
              <w:widowControl/>
              <w:jc w:val="left"/>
              <w:rPr>
                <w:kern w:val="0"/>
                <w:szCs w:val="21"/>
              </w:rPr>
            </w:pPr>
            <w:r>
              <w:rPr>
                <w:kern w:val="0"/>
                <w:szCs w:val="21"/>
              </w:rPr>
              <w:t>3</w:t>
            </w:r>
            <w:r>
              <w:rPr>
                <w:rFonts w:hint="eastAsia"/>
                <w:kern w:val="0"/>
                <w:szCs w:val="21"/>
              </w:rPr>
              <w:t>7</w:t>
            </w:r>
            <w:r>
              <w:rPr>
                <w:kern w:val="0"/>
                <w:szCs w:val="21"/>
              </w:rPr>
              <w:t>.DMF废水集中精馏系统</w:t>
            </w:r>
          </w:p>
        </w:tc>
        <w:tc>
          <w:tcPr>
            <w:tcW w:w="538" w:type="pct"/>
            <w:vAlign w:val="center"/>
          </w:tcPr>
          <w:p>
            <w:pPr>
              <w:widowControl/>
              <w:jc w:val="center"/>
              <w:rPr>
                <w:kern w:val="0"/>
                <w:szCs w:val="21"/>
              </w:rPr>
            </w:pPr>
            <w:r>
              <w:rPr>
                <w:rFonts w:hint="eastAsia"/>
                <w:kern w:val="0"/>
                <w:szCs w:val="21"/>
              </w:rPr>
              <w:t>设置</w:t>
            </w:r>
          </w:p>
        </w:tc>
        <w:tc>
          <w:tcPr>
            <w:tcW w:w="1139" w:type="pct"/>
            <w:vAlign w:val="center"/>
          </w:tcPr>
          <w:p>
            <w:pPr>
              <w:widowControl/>
              <w:jc w:val="center"/>
              <w:rPr>
                <w:kern w:val="0"/>
                <w:szCs w:val="21"/>
              </w:rPr>
            </w:pPr>
            <w:r>
              <w:rPr>
                <w:rFonts w:hint="eastAsia"/>
                <w:kern w:val="0"/>
                <w:szCs w:val="21"/>
              </w:rPr>
              <w:t>调研情况、专家咨询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top w:val="double" w:color="auto" w:sz="4" w:space="0"/>
            </w:tcBorders>
            <w:vAlign w:val="center"/>
          </w:tcPr>
          <w:p>
            <w:pPr>
              <w:widowControl/>
              <w:jc w:val="left"/>
              <w:rPr>
                <w:kern w:val="0"/>
                <w:szCs w:val="21"/>
              </w:rPr>
            </w:pPr>
          </w:p>
        </w:tc>
        <w:tc>
          <w:tcPr>
            <w:tcW w:w="707" w:type="pct"/>
            <w:vMerge w:val="restart"/>
            <w:tcBorders>
              <w:top w:val="single" w:color="auto" w:sz="4" w:space="0"/>
            </w:tcBorders>
            <w:vAlign w:val="center"/>
          </w:tcPr>
          <w:p>
            <w:pPr>
              <w:widowControl/>
              <w:jc w:val="center"/>
              <w:rPr>
                <w:kern w:val="0"/>
                <w:szCs w:val="21"/>
              </w:rPr>
            </w:pPr>
            <w:r>
              <w:rPr>
                <w:rFonts w:hint="eastAsia"/>
                <w:kern w:val="0"/>
                <w:szCs w:val="21"/>
              </w:rPr>
              <w:t>重点体系建设</w:t>
            </w:r>
          </w:p>
        </w:tc>
        <w:tc>
          <w:tcPr>
            <w:tcW w:w="1905" w:type="pct"/>
            <w:vAlign w:val="center"/>
          </w:tcPr>
          <w:p>
            <w:pPr>
              <w:jc w:val="left"/>
              <w:rPr>
                <w:kern w:val="0"/>
                <w:szCs w:val="21"/>
              </w:rPr>
            </w:pPr>
            <w:r>
              <w:rPr>
                <w:kern w:val="0"/>
                <w:szCs w:val="21"/>
              </w:rPr>
              <w:t>3</w:t>
            </w:r>
            <w:r>
              <w:rPr>
                <w:rFonts w:hint="eastAsia"/>
                <w:kern w:val="0"/>
                <w:szCs w:val="21"/>
              </w:rPr>
              <w:t>8</w:t>
            </w:r>
            <w:r>
              <w:rPr>
                <w:kern w:val="0"/>
                <w:szCs w:val="21"/>
              </w:rPr>
              <w:t>.建立能源管理体系的企业比例</w:t>
            </w:r>
          </w:p>
        </w:tc>
        <w:tc>
          <w:tcPr>
            <w:tcW w:w="538" w:type="pct"/>
            <w:vAlign w:val="center"/>
          </w:tcPr>
          <w:p>
            <w:pPr>
              <w:widowControl/>
              <w:jc w:val="center"/>
              <w:rPr>
                <w:kern w:val="0"/>
                <w:szCs w:val="21"/>
              </w:rPr>
            </w:pPr>
            <w:r>
              <w:rPr>
                <w:rFonts w:hint="eastAsia"/>
                <w:kern w:val="0"/>
                <w:szCs w:val="21"/>
              </w:rPr>
              <w:t>30%</w:t>
            </w:r>
          </w:p>
        </w:tc>
        <w:tc>
          <w:tcPr>
            <w:tcW w:w="1139" w:type="pct"/>
            <w:vAlign w:val="center"/>
          </w:tcPr>
          <w:p>
            <w:pPr>
              <w:widowControl/>
              <w:jc w:val="center"/>
              <w:rPr>
                <w:kern w:val="0"/>
                <w:szCs w:val="21"/>
              </w:rPr>
            </w:pPr>
            <w:r>
              <w:rPr>
                <w:rFonts w:hint="eastAsia"/>
                <w:kern w:val="0"/>
                <w:szCs w:val="21"/>
              </w:rPr>
              <w:t>上海市《绿色产业园区评价导则》、专家咨询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top w:val="double" w:color="auto" w:sz="4" w:space="0"/>
            </w:tcBorders>
            <w:vAlign w:val="center"/>
          </w:tcPr>
          <w:p>
            <w:pPr>
              <w:widowControl/>
              <w:jc w:val="left"/>
              <w:rPr>
                <w:kern w:val="0"/>
                <w:szCs w:val="21"/>
              </w:rPr>
            </w:pPr>
          </w:p>
        </w:tc>
        <w:tc>
          <w:tcPr>
            <w:tcW w:w="707" w:type="pct"/>
            <w:vMerge w:val="continue"/>
            <w:vAlign w:val="center"/>
          </w:tcPr>
          <w:p>
            <w:pPr>
              <w:widowControl/>
              <w:jc w:val="center"/>
              <w:rPr>
                <w:kern w:val="0"/>
                <w:szCs w:val="21"/>
              </w:rPr>
            </w:pPr>
          </w:p>
        </w:tc>
        <w:tc>
          <w:tcPr>
            <w:tcW w:w="1905" w:type="pct"/>
            <w:vAlign w:val="center"/>
          </w:tcPr>
          <w:p>
            <w:pPr>
              <w:widowControl/>
              <w:jc w:val="left"/>
              <w:rPr>
                <w:kern w:val="0"/>
                <w:szCs w:val="21"/>
              </w:rPr>
            </w:pPr>
            <w:r>
              <w:rPr>
                <w:kern w:val="0"/>
                <w:szCs w:val="21"/>
              </w:rPr>
              <w:t>3</w:t>
            </w:r>
            <w:r>
              <w:rPr>
                <w:rFonts w:hint="eastAsia"/>
                <w:kern w:val="0"/>
                <w:szCs w:val="21"/>
              </w:rPr>
              <w:t>9</w:t>
            </w:r>
            <w:r>
              <w:rPr>
                <w:kern w:val="0"/>
                <w:szCs w:val="21"/>
              </w:rPr>
              <w:t>.建立环境管理体系的企业比例</w:t>
            </w:r>
          </w:p>
        </w:tc>
        <w:tc>
          <w:tcPr>
            <w:tcW w:w="538" w:type="pct"/>
            <w:vAlign w:val="center"/>
          </w:tcPr>
          <w:p>
            <w:pPr>
              <w:widowControl/>
              <w:jc w:val="center"/>
              <w:rPr>
                <w:kern w:val="0"/>
                <w:szCs w:val="21"/>
              </w:rPr>
            </w:pPr>
            <w:r>
              <w:rPr>
                <w:rFonts w:hint="eastAsia"/>
                <w:kern w:val="0"/>
                <w:szCs w:val="21"/>
              </w:rPr>
              <w:t>50%</w:t>
            </w:r>
          </w:p>
        </w:tc>
        <w:tc>
          <w:tcPr>
            <w:tcW w:w="1139" w:type="pct"/>
            <w:vAlign w:val="center"/>
          </w:tcPr>
          <w:p>
            <w:pPr>
              <w:widowControl/>
              <w:jc w:val="center"/>
              <w:rPr>
                <w:kern w:val="0"/>
                <w:szCs w:val="21"/>
              </w:rPr>
            </w:pPr>
            <w:r>
              <w:rPr>
                <w:rFonts w:hint="eastAsia"/>
                <w:kern w:val="0"/>
                <w:szCs w:val="21"/>
              </w:rPr>
              <w:t>上海市《绿色产业园区评价导则》、专家咨询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vMerge w:val="continue"/>
            <w:tcBorders>
              <w:top w:val="double" w:color="auto" w:sz="4" w:space="0"/>
              <w:bottom w:val="nil"/>
            </w:tcBorders>
            <w:vAlign w:val="center"/>
          </w:tcPr>
          <w:p>
            <w:pPr>
              <w:widowControl/>
              <w:jc w:val="left"/>
              <w:rPr>
                <w:kern w:val="0"/>
                <w:szCs w:val="21"/>
              </w:rPr>
            </w:pPr>
          </w:p>
        </w:tc>
        <w:tc>
          <w:tcPr>
            <w:tcW w:w="707" w:type="pct"/>
            <w:vMerge w:val="continue"/>
            <w:vAlign w:val="center"/>
          </w:tcPr>
          <w:p>
            <w:pPr>
              <w:widowControl/>
              <w:jc w:val="center"/>
              <w:rPr>
                <w:kern w:val="0"/>
                <w:szCs w:val="21"/>
              </w:rPr>
            </w:pPr>
          </w:p>
        </w:tc>
        <w:tc>
          <w:tcPr>
            <w:tcW w:w="1905" w:type="pct"/>
            <w:vAlign w:val="center"/>
          </w:tcPr>
          <w:p>
            <w:pPr>
              <w:jc w:val="left"/>
              <w:rPr>
                <w:kern w:val="0"/>
                <w:szCs w:val="21"/>
              </w:rPr>
            </w:pPr>
            <w:r>
              <w:rPr>
                <w:rFonts w:hint="eastAsia"/>
                <w:kern w:val="0"/>
                <w:szCs w:val="21"/>
              </w:rPr>
              <w:t>40</w:t>
            </w:r>
            <w:r>
              <w:rPr>
                <w:kern w:val="0"/>
                <w:szCs w:val="21"/>
              </w:rPr>
              <w:t>.建立质量管理体系的企业比例</w:t>
            </w:r>
          </w:p>
        </w:tc>
        <w:tc>
          <w:tcPr>
            <w:tcW w:w="538" w:type="pct"/>
            <w:vAlign w:val="center"/>
          </w:tcPr>
          <w:p>
            <w:pPr>
              <w:widowControl/>
              <w:jc w:val="center"/>
              <w:rPr>
                <w:kern w:val="0"/>
                <w:szCs w:val="21"/>
              </w:rPr>
            </w:pPr>
            <w:r>
              <w:rPr>
                <w:rFonts w:hint="eastAsia"/>
                <w:kern w:val="0"/>
                <w:szCs w:val="21"/>
              </w:rPr>
              <w:t>50%</w:t>
            </w:r>
          </w:p>
        </w:tc>
        <w:tc>
          <w:tcPr>
            <w:tcW w:w="1139" w:type="pct"/>
            <w:vAlign w:val="center"/>
          </w:tcPr>
          <w:p>
            <w:pPr>
              <w:widowControl/>
              <w:jc w:val="center"/>
              <w:rPr>
                <w:kern w:val="0"/>
                <w:szCs w:val="21"/>
              </w:rPr>
            </w:pPr>
            <w:r>
              <w:rPr>
                <w:rFonts w:hint="eastAsia"/>
                <w:kern w:val="0"/>
                <w:szCs w:val="21"/>
              </w:rPr>
              <w:t>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0" w:type="pct"/>
            <w:tcBorders>
              <w:top w:val="nil"/>
              <w:bottom w:val="single" w:color="auto" w:sz="4" w:space="0"/>
            </w:tcBorders>
            <w:vAlign w:val="center"/>
          </w:tcPr>
          <w:p>
            <w:pPr>
              <w:widowControl/>
              <w:jc w:val="left"/>
              <w:rPr>
                <w:kern w:val="0"/>
                <w:szCs w:val="21"/>
              </w:rPr>
            </w:pPr>
          </w:p>
        </w:tc>
        <w:tc>
          <w:tcPr>
            <w:tcW w:w="707" w:type="pct"/>
            <w:vMerge w:val="continue"/>
            <w:tcBorders>
              <w:bottom w:val="single" w:color="auto" w:sz="4" w:space="0"/>
            </w:tcBorders>
            <w:vAlign w:val="center"/>
          </w:tcPr>
          <w:p>
            <w:pPr>
              <w:widowControl/>
              <w:jc w:val="center"/>
              <w:rPr>
                <w:kern w:val="0"/>
                <w:szCs w:val="21"/>
              </w:rPr>
            </w:pPr>
          </w:p>
        </w:tc>
        <w:tc>
          <w:tcPr>
            <w:tcW w:w="1905" w:type="pct"/>
            <w:vAlign w:val="center"/>
          </w:tcPr>
          <w:p>
            <w:pPr>
              <w:widowControl/>
              <w:jc w:val="left"/>
              <w:rPr>
                <w:kern w:val="0"/>
                <w:szCs w:val="21"/>
              </w:rPr>
            </w:pPr>
            <w:r>
              <w:rPr>
                <w:rFonts w:hint="eastAsia"/>
                <w:kern w:val="0"/>
                <w:szCs w:val="21"/>
              </w:rPr>
              <w:t>41</w:t>
            </w:r>
            <w:r>
              <w:rPr>
                <w:kern w:val="0"/>
                <w:szCs w:val="21"/>
              </w:rPr>
              <w:t>.建立职业安全健康管理体系的企业比例</w:t>
            </w:r>
          </w:p>
        </w:tc>
        <w:tc>
          <w:tcPr>
            <w:tcW w:w="538" w:type="pct"/>
            <w:vAlign w:val="center"/>
          </w:tcPr>
          <w:p>
            <w:pPr>
              <w:widowControl/>
              <w:jc w:val="center"/>
              <w:rPr>
                <w:kern w:val="0"/>
                <w:szCs w:val="21"/>
              </w:rPr>
            </w:pPr>
            <w:r>
              <w:rPr>
                <w:rFonts w:hint="eastAsia"/>
                <w:kern w:val="0"/>
                <w:szCs w:val="21"/>
              </w:rPr>
              <w:t>30%</w:t>
            </w:r>
          </w:p>
        </w:tc>
        <w:tc>
          <w:tcPr>
            <w:tcW w:w="1139" w:type="pct"/>
            <w:vAlign w:val="center"/>
          </w:tcPr>
          <w:p>
            <w:pPr>
              <w:widowControl/>
              <w:jc w:val="center"/>
              <w:rPr>
                <w:kern w:val="0"/>
                <w:szCs w:val="21"/>
              </w:rPr>
            </w:pPr>
            <w:r>
              <w:rPr>
                <w:rFonts w:hint="eastAsia"/>
                <w:kern w:val="0"/>
                <w:szCs w:val="21"/>
              </w:rPr>
              <w:t>专家咨询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5"/>
            <w:tcBorders>
              <w:bottom w:val="single" w:color="auto" w:sz="12" w:space="0"/>
            </w:tcBorders>
            <w:shd w:val="clear" w:color="auto" w:fill="auto"/>
            <w:vAlign w:val="center"/>
          </w:tcPr>
          <w:p>
            <w:pPr>
              <w:widowControl/>
              <w:rPr>
                <w:kern w:val="0"/>
                <w:szCs w:val="21"/>
              </w:rPr>
            </w:pPr>
            <w:r>
              <w:rPr>
                <w:rFonts w:hint="eastAsia"/>
                <w:kern w:val="0"/>
                <w:szCs w:val="21"/>
              </w:rPr>
              <w:t>注：二级指标中第7、20-26、37为定性指标，其余均为定量指标</w:t>
            </w:r>
          </w:p>
        </w:tc>
      </w:tr>
    </w:tbl>
    <w:p>
      <w:pPr>
        <w:spacing w:line="360" w:lineRule="auto"/>
        <w:ind w:firstLine="480" w:firstLineChars="200"/>
        <w:rPr>
          <w:kern w:val="0"/>
          <w:sz w:val="24"/>
        </w:rPr>
      </w:pPr>
    </w:p>
    <w:p>
      <w:pPr>
        <w:pStyle w:val="11"/>
        <w:spacing w:line="440" w:lineRule="exact"/>
        <w:ind w:firstLine="0"/>
        <w:outlineLvl w:val="2"/>
        <w:rPr>
          <w:rFonts w:ascii="Times New Roman" w:eastAsia="宋体"/>
          <w:b/>
          <w:kern w:val="0"/>
          <w:sz w:val="24"/>
          <w:szCs w:val="24"/>
        </w:rPr>
      </w:pPr>
      <w:bookmarkStart w:id="13" w:name="_Toc23770168"/>
      <w:r>
        <w:rPr>
          <w:rFonts w:hint="eastAsia" w:ascii="Times New Roman" w:eastAsia="宋体"/>
          <w:b/>
          <w:kern w:val="0"/>
          <w:sz w:val="24"/>
          <w:szCs w:val="24"/>
        </w:rPr>
        <w:t>2</w:t>
      </w:r>
      <w:r>
        <w:rPr>
          <w:rFonts w:ascii="Times New Roman" w:eastAsia="宋体"/>
          <w:b/>
          <w:kern w:val="0"/>
          <w:sz w:val="24"/>
          <w:szCs w:val="24"/>
        </w:rPr>
        <w:t>.</w:t>
      </w:r>
      <w:r>
        <w:rPr>
          <w:rFonts w:hint="eastAsia" w:ascii="Times New Roman" w:eastAsia="宋体"/>
          <w:b/>
          <w:kern w:val="0"/>
          <w:sz w:val="24"/>
          <w:szCs w:val="24"/>
        </w:rPr>
        <w:t>5</w:t>
      </w:r>
      <w:bookmarkEnd w:id="13"/>
      <w:r>
        <w:rPr>
          <w:rFonts w:hint="eastAsia" w:ascii="Times New Roman" w:eastAsia="宋体"/>
          <w:b/>
          <w:kern w:val="0"/>
          <w:sz w:val="24"/>
          <w:szCs w:val="24"/>
        </w:rPr>
        <w:t>评价判定</w:t>
      </w:r>
    </w:p>
    <w:p>
      <w:pPr>
        <w:autoSpaceDE w:val="0"/>
        <w:autoSpaceDN w:val="0"/>
        <w:adjustRightInd w:val="0"/>
        <w:spacing w:line="440" w:lineRule="exact"/>
        <w:ind w:firstLine="480" w:firstLineChars="200"/>
        <w:jc w:val="left"/>
        <w:rPr>
          <w:kern w:val="0"/>
          <w:sz w:val="24"/>
        </w:rPr>
      </w:pPr>
      <w:r>
        <w:rPr>
          <w:rFonts w:hint="eastAsia"/>
          <w:kern w:val="0"/>
          <w:sz w:val="24"/>
        </w:rPr>
        <w:t>人造革与合成革行业绿色园区评价通则的指标分类包括基本要求、土地利用指标、能源利用指标、资源利用指标、环境保护指标、园区管理与基础设施指标、产业绿色指标、重点工程及体系建设指标等八类，每类又由若干个一级指标和二级指标组成。每项二级指标设立基准值，按照2.6评价方法对园区的各项情况进行考核评分。</w:t>
      </w:r>
      <w:r>
        <w:rPr>
          <w:kern w:val="0"/>
          <w:sz w:val="24"/>
        </w:rPr>
        <w:t xml:space="preserve"> </w:t>
      </w:r>
    </w:p>
    <w:p>
      <w:pPr>
        <w:autoSpaceDE w:val="0"/>
        <w:autoSpaceDN w:val="0"/>
        <w:adjustRightInd w:val="0"/>
        <w:spacing w:line="440" w:lineRule="exact"/>
        <w:ind w:firstLine="480" w:firstLineChars="200"/>
        <w:jc w:val="left"/>
        <w:rPr>
          <w:kern w:val="0"/>
          <w:sz w:val="24"/>
        </w:rPr>
      </w:pPr>
      <w:r>
        <w:rPr>
          <w:rFonts w:hint="eastAsia"/>
          <w:kern w:val="0"/>
          <w:sz w:val="24"/>
        </w:rPr>
        <w:t>园区全部符合基本条件，且表1评价指标综合分值大于等于80分以上为工业绿色园区。</w:t>
      </w:r>
    </w:p>
    <w:p>
      <w:pPr>
        <w:pStyle w:val="11"/>
        <w:spacing w:line="440" w:lineRule="exact"/>
        <w:ind w:firstLine="0"/>
        <w:outlineLvl w:val="2"/>
        <w:rPr>
          <w:rFonts w:ascii="Times New Roman" w:eastAsia="宋体"/>
          <w:b/>
          <w:kern w:val="0"/>
          <w:sz w:val="24"/>
          <w:szCs w:val="24"/>
        </w:rPr>
      </w:pPr>
      <w:bookmarkStart w:id="14" w:name="_Toc23770169"/>
      <w:r>
        <w:rPr>
          <w:rFonts w:hint="eastAsia" w:ascii="Times New Roman" w:eastAsia="宋体"/>
          <w:b/>
          <w:kern w:val="0"/>
          <w:sz w:val="24"/>
          <w:szCs w:val="24"/>
        </w:rPr>
        <w:t>2</w:t>
      </w:r>
      <w:r>
        <w:rPr>
          <w:rFonts w:ascii="Times New Roman" w:eastAsia="宋体"/>
          <w:b/>
          <w:kern w:val="0"/>
          <w:sz w:val="24"/>
          <w:szCs w:val="24"/>
        </w:rPr>
        <w:t>.</w:t>
      </w:r>
      <w:r>
        <w:rPr>
          <w:rFonts w:hint="eastAsia" w:ascii="Times New Roman" w:eastAsia="宋体"/>
          <w:b/>
          <w:kern w:val="0"/>
          <w:sz w:val="24"/>
          <w:szCs w:val="24"/>
        </w:rPr>
        <w:t>6评价</w:t>
      </w:r>
      <w:bookmarkEnd w:id="14"/>
      <w:r>
        <w:rPr>
          <w:rFonts w:hint="eastAsia" w:ascii="Times New Roman" w:eastAsia="宋体"/>
          <w:b/>
          <w:kern w:val="0"/>
          <w:sz w:val="24"/>
          <w:szCs w:val="24"/>
        </w:rPr>
        <w:t>方法</w:t>
      </w:r>
    </w:p>
    <w:p>
      <w:pPr>
        <w:numPr>
          <w:ilvl w:val="0"/>
          <w:numId w:val="5"/>
        </w:numPr>
        <w:autoSpaceDE w:val="0"/>
        <w:autoSpaceDN w:val="0"/>
        <w:adjustRightInd w:val="0"/>
        <w:spacing w:after="156" w:afterLines="50" w:line="440" w:lineRule="exact"/>
        <w:jc w:val="left"/>
        <w:rPr>
          <w:kern w:val="0"/>
          <w:sz w:val="24"/>
        </w:rPr>
      </w:pPr>
      <w:r>
        <w:rPr>
          <w:kern w:val="0"/>
          <w:sz w:val="24"/>
        </w:rPr>
        <w:t>指标数据来源</w:t>
      </w:r>
    </w:p>
    <w:p>
      <w:pPr>
        <w:spacing w:before="156" w:beforeLines="50" w:after="156" w:afterLines="50" w:line="440" w:lineRule="exact"/>
        <w:ind w:firstLine="480" w:firstLineChars="200"/>
        <w:rPr>
          <w:sz w:val="24"/>
        </w:rPr>
      </w:pPr>
      <w:r>
        <w:rPr>
          <w:sz w:val="24"/>
        </w:rPr>
        <w:t>本标准中数据采集以统计部门、环保部门的数据为准，统计部门、环保部门未进行统计的数据，采用现场调研数据。</w:t>
      </w:r>
    </w:p>
    <w:p>
      <w:pPr>
        <w:numPr>
          <w:ilvl w:val="0"/>
          <w:numId w:val="5"/>
        </w:numPr>
        <w:autoSpaceDE w:val="0"/>
        <w:autoSpaceDN w:val="0"/>
        <w:adjustRightInd w:val="0"/>
        <w:spacing w:after="156" w:afterLines="50" w:line="440" w:lineRule="exact"/>
        <w:jc w:val="left"/>
        <w:rPr>
          <w:kern w:val="0"/>
          <w:sz w:val="24"/>
        </w:rPr>
      </w:pPr>
      <w:r>
        <w:rPr>
          <w:kern w:val="0"/>
          <w:sz w:val="24"/>
        </w:rPr>
        <w:t>指标数据统计范围和周期</w:t>
      </w:r>
    </w:p>
    <w:p>
      <w:pPr>
        <w:spacing w:before="156" w:beforeLines="50" w:after="156" w:afterLines="50" w:line="440" w:lineRule="exact"/>
        <w:ind w:firstLine="480" w:firstLineChars="200"/>
        <w:rPr>
          <w:sz w:val="24"/>
        </w:rPr>
      </w:pPr>
      <w:r>
        <w:rPr>
          <w:sz w:val="24"/>
        </w:rPr>
        <w:t>本标准未作特殊说明，数据统计范围为园区内所有企业，数据统计周期为上一年度。</w:t>
      </w:r>
    </w:p>
    <w:p>
      <w:pPr>
        <w:numPr>
          <w:ilvl w:val="0"/>
          <w:numId w:val="5"/>
        </w:numPr>
        <w:autoSpaceDE w:val="0"/>
        <w:autoSpaceDN w:val="0"/>
        <w:adjustRightInd w:val="0"/>
        <w:spacing w:after="156" w:afterLines="50" w:line="440" w:lineRule="exact"/>
        <w:jc w:val="left"/>
        <w:rPr>
          <w:kern w:val="0"/>
          <w:sz w:val="24"/>
        </w:rPr>
      </w:pPr>
      <w:r>
        <w:rPr>
          <w:kern w:val="0"/>
          <w:sz w:val="24"/>
        </w:rPr>
        <w:t>分值的计算</w:t>
      </w:r>
    </w:p>
    <w:p>
      <w:pPr>
        <w:spacing w:before="156" w:beforeLines="50" w:after="156" w:afterLines="50" w:line="440" w:lineRule="exact"/>
        <w:ind w:firstLine="480" w:firstLineChars="200"/>
        <w:rPr>
          <w:sz w:val="24"/>
        </w:rPr>
      </w:pPr>
      <w:r>
        <w:rPr>
          <w:rFonts w:hint="eastAsia"/>
          <w:sz w:val="24"/>
        </w:rPr>
        <w:t>考虑到不同园区的差距，以及对重点指标项的鼓励，每个二级指标的指标分值设立了上限值和下限值。符合指标基准值要求的项目按上限值打分，重点指标并给予最大上浮50%的分值奖励；不符合基准值要求的项目打分最低分值为下限值。具体的打分方法如下：</w:t>
      </w:r>
    </w:p>
    <w:p>
      <w:pPr>
        <w:numPr>
          <w:ilvl w:val="0"/>
          <w:numId w:val="6"/>
        </w:numPr>
        <w:spacing w:before="156" w:beforeLines="50" w:after="156" w:afterLines="50" w:line="440" w:lineRule="exact"/>
        <w:rPr>
          <w:rFonts w:ascii="宋体" w:hAnsi="宋体"/>
          <w:sz w:val="24"/>
        </w:rPr>
      </w:pPr>
      <w:r>
        <w:rPr>
          <w:rFonts w:hint="eastAsia" w:ascii="宋体" w:hAnsi="宋体"/>
          <w:sz w:val="24"/>
        </w:rPr>
        <w:t>定量评价指标的考核评分计算</w:t>
      </w:r>
    </w:p>
    <w:p>
      <w:pPr>
        <w:spacing w:before="156" w:beforeLines="50" w:after="156" w:afterLines="50" w:line="440" w:lineRule="exact"/>
        <w:ind w:firstLine="480" w:firstLineChars="200"/>
        <w:rPr>
          <w:rFonts w:ascii="宋体" w:hAnsi="宋体"/>
          <w:sz w:val="24"/>
        </w:rPr>
      </w:pPr>
      <w:r>
        <w:rPr>
          <w:rFonts w:hint="eastAsia" w:ascii="宋体" w:hAnsi="宋体"/>
          <w:sz w:val="24"/>
        </w:rPr>
        <w:t>在计算各项二级指标的评分时，应根据定量评价指标的类别采用不同的计算公式计算。</w:t>
      </w:r>
    </w:p>
    <w:p>
      <w:pPr>
        <w:spacing w:before="156" w:beforeLines="50" w:after="156" w:afterLines="50" w:line="440" w:lineRule="exact"/>
        <w:ind w:firstLine="480" w:firstLineChars="200"/>
        <w:rPr>
          <w:rFonts w:ascii="宋体" w:hAnsi="宋体"/>
          <w:sz w:val="24"/>
        </w:rPr>
      </w:pPr>
      <w:r>
        <w:rPr>
          <w:rFonts w:hint="eastAsia" w:ascii="宋体" w:hAnsi="宋体"/>
          <w:sz w:val="24"/>
        </w:rPr>
        <w:t>对正向指标，其单项评价指数按式（1）计算：</w:t>
      </w:r>
    </w:p>
    <w:p>
      <w:pPr>
        <w:spacing w:before="156" w:beforeLines="50" w:after="156" w:afterLines="50" w:line="440" w:lineRule="exact"/>
        <w:ind w:firstLine="1920" w:firstLineChars="800"/>
        <w:rPr>
          <w:rFonts w:ascii="宋体" w:hAnsi="宋体"/>
          <w:sz w:val="24"/>
        </w:rPr>
      </w:pPr>
      <w:r>
        <w:rPr>
          <w:rFonts w:ascii="宋体" w:hAnsi="宋体"/>
          <w:position w:val="-30"/>
          <w:sz w:val="24"/>
        </w:rPr>
        <w:object>
          <v:shape id="_x0000_i1025" o:spt="75" type="#_x0000_t75" style="height:34.45pt;width:40.7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宋体" w:hAnsi="宋体"/>
          <w:sz w:val="24"/>
        </w:rPr>
        <w:t>……………………………（1）</w:t>
      </w:r>
    </w:p>
    <w:p>
      <w:pPr>
        <w:spacing w:before="156" w:beforeLines="50" w:after="156" w:afterLines="50" w:line="440" w:lineRule="exact"/>
        <w:ind w:firstLine="480" w:firstLineChars="200"/>
        <w:rPr>
          <w:rFonts w:ascii="宋体" w:hAnsi="宋体"/>
          <w:sz w:val="24"/>
        </w:rPr>
      </w:pPr>
      <w:r>
        <w:rPr>
          <w:rFonts w:hint="eastAsia" w:ascii="宋体" w:hAnsi="宋体"/>
          <w:sz w:val="24"/>
        </w:rPr>
        <w:t>对逆向指标，其单项评价指数按式（2）计算：</w:t>
      </w:r>
    </w:p>
    <w:p>
      <w:pPr>
        <w:spacing w:before="156" w:beforeLines="50" w:after="156" w:afterLines="50" w:line="440" w:lineRule="exact"/>
        <w:ind w:firstLine="1920" w:firstLineChars="800"/>
        <w:rPr>
          <w:rFonts w:ascii="宋体" w:hAnsi="宋体"/>
          <w:sz w:val="24"/>
        </w:rPr>
      </w:pPr>
      <w:r>
        <w:rPr>
          <w:rFonts w:ascii="宋体" w:hAnsi="宋体"/>
          <w:position w:val="-30"/>
          <w:sz w:val="24"/>
        </w:rPr>
        <w:object>
          <v:shape id="_x0000_i1026" o:spt="75" type="#_x0000_t75" style="height:34.45pt;width:40.7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宋体" w:hAnsi="宋体"/>
          <w:sz w:val="24"/>
        </w:rPr>
        <w:t>……………………………（2）</w:t>
      </w:r>
    </w:p>
    <w:p>
      <w:pPr>
        <w:spacing w:before="156" w:beforeLines="50" w:after="156" w:afterLines="50" w:line="440" w:lineRule="exact"/>
        <w:ind w:firstLine="480" w:firstLineChars="200"/>
        <w:rPr>
          <w:rFonts w:ascii="宋体" w:hAnsi="宋体"/>
          <w:sz w:val="24"/>
        </w:rPr>
      </w:pPr>
      <w:r>
        <w:rPr>
          <w:rFonts w:hint="eastAsia" w:ascii="宋体" w:hAnsi="宋体"/>
          <w:sz w:val="24"/>
        </w:rPr>
        <w:t>式中：</w:t>
      </w:r>
      <w:r>
        <w:rPr>
          <w:rFonts w:hint="eastAsia" w:ascii="宋体" w:hAnsi="宋体"/>
          <w:i/>
          <w:sz w:val="24"/>
        </w:rPr>
        <w:t>S</w:t>
      </w:r>
      <w:r>
        <w:rPr>
          <w:rFonts w:hint="eastAsia" w:ascii="宋体" w:hAnsi="宋体"/>
          <w:i/>
          <w:sz w:val="24"/>
          <w:vertAlign w:val="subscript"/>
        </w:rPr>
        <w:t>i</w:t>
      </w:r>
      <w:r>
        <w:rPr>
          <w:rFonts w:hint="eastAsia" w:ascii="宋体" w:hAnsi="宋体"/>
          <w:sz w:val="24"/>
        </w:rPr>
        <w:t>——第i项评价指标的单项评价指数；</w:t>
      </w:r>
    </w:p>
    <w:p>
      <w:pPr>
        <w:spacing w:before="156" w:beforeLines="50" w:after="156" w:afterLines="50" w:line="440" w:lineRule="exact"/>
        <w:ind w:firstLine="1200" w:firstLineChars="500"/>
        <w:rPr>
          <w:rFonts w:ascii="宋体" w:hAnsi="宋体"/>
          <w:sz w:val="24"/>
        </w:rPr>
      </w:pPr>
      <w:r>
        <w:rPr>
          <w:rFonts w:hint="eastAsia" w:ascii="宋体" w:hAnsi="宋体"/>
          <w:i/>
          <w:sz w:val="24"/>
        </w:rPr>
        <w:t>S</w:t>
      </w:r>
      <w:r>
        <w:rPr>
          <w:rFonts w:hint="eastAsia" w:ascii="宋体" w:hAnsi="宋体"/>
          <w:i/>
          <w:sz w:val="24"/>
          <w:vertAlign w:val="subscript"/>
        </w:rPr>
        <w:t>xi</w:t>
      </w:r>
      <w:r>
        <w:rPr>
          <w:rFonts w:hint="eastAsia" w:ascii="宋体" w:hAnsi="宋体"/>
          <w:sz w:val="24"/>
        </w:rPr>
        <w:t>——第i项评价指标的实际值；</w:t>
      </w:r>
    </w:p>
    <w:p>
      <w:pPr>
        <w:spacing w:before="156" w:beforeLines="50" w:after="156" w:afterLines="50" w:line="440" w:lineRule="exact"/>
        <w:ind w:firstLine="1200" w:firstLineChars="500"/>
        <w:rPr>
          <w:rFonts w:ascii="宋体" w:hAnsi="宋体"/>
          <w:sz w:val="24"/>
        </w:rPr>
      </w:pPr>
      <w:r>
        <w:rPr>
          <w:rFonts w:hint="eastAsia" w:ascii="宋体" w:hAnsi="宋体"/>
          <w:i/>
          <w:sz w:val="24"/>
        </w:rPr>
        <w:t>S</w:t>
      </w:r>
      <w:r>
        <w:rPr>
          <w:rFonts w:hint="eastAsia" w:ascii="宋体" w:hAnsi="宋体"/>
          <w:i/>
          <w:sz w:val="24"/>
          <w:vertAlign w:val="subscript"/>
        </w:rPr>
        <w:t>oi</w:t>
      </w:r>
      <w:r>
        <w:rPr>
          <w:rFonts w:hint="eastAsia" w:ascii="宋体" w:hAnsi="宋体"/>
          <w:sz w:val="24"/>
        </w:rPr>
        <w:t>——第i项评价指标的基准值。</w:t>
      </w:r>
    </w:p>
    <w:p>
      <w:pPr>
        <w:spacing w:before="156" w:beforeLines="50" w:after="156" w:afterLines="50" w:line="440" w:lineRule="exact"/>
        <w:ind w:firstLine="480" w:firstLineChars="200"/>
        <w:rPr>
          <w:rFonts w:ascii="宋体" w:hAnsi="宋体"/>
          <w:sz w:val="24"/>
        </w:rPr>
      </w:pPr>
      <w:r>
        <w:rPr>
          <w:rFonts w:hint="eastAsia" w:ascii="宋体" w:hAnsi="宋体"/>
          <w:sz w:val="24"/>
        </w:rPr>
        <w:t>本标准各项二级评价指标的单项评价指数的正常值一般在1.0左右，但当其实际值远小于（或远大于）评价基准值时，计算得出的Si值较大，计算结果会偏离实际，对其他评价指标单项评价指数的作用产生干扰。为了消除这种不合理的影响，需对此进行修正处理。修正的方法是：</w:t>
      </w:r>
    </w:p>
    <w:p>
      <w:pPr>
        <w:spacing w:before="156" w:beforeLines="50" w:after="156" w:afterLines="50" w:line="440" w:lineRule="exact"/>
        <w:ind w:firstLine="480" w:firstLineChars="200"/>
        <w:rPr>
          <w:rFonts w:ascii="宋体" w:hAnsi="宋体"/>
          <w:sz w:val="24"/>
        </w:rPr>
      </w:pPr>
      <w:r>
        <w:rPr>
          <w:rFonts w:hint="eastAsia" w:ascii="宋体" w:hAnsi="宋体"/>
          <w:sz w:val="24"/>
        </w:rPr>
        <w:t>0.2≤Si值计算结果≤1时，Si值取计算值；</w:t>
      </w:r>
    </w:p>
    <w:p>
      <w:pPr>
        <w:spacing w:before="156" w:beforeLines="50" w:after="156" w:afterLines="50" w:line="440" w:lineRule="exact"/>
        <w:ind w:firstLine="480" w:firstLineChars="200"/>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258445</wp:posOffset>
                </wp:positionV>
                <wp:extent cx="4031615" cy="657860"/>
                <wp:effectExtent l="0" t="0" r="7620" b="889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31311" cy="657860"/>
                        </a:xfrm>
                        <a:prstGeom prst="rect">
                          <a:avLst/>
                        </a:prstGeom>
                        <a:solidFill>
                          <a:srgbClr val="FFFFFF"/>
                        </a:solidFill>
                        <a:ln w="9525">
                          <a:noFill/>
                          <a:miter lim="800000"/>
                        </a:ln>
                      </wps:spPr>
                      <wps:txbx>
                        <w:txbxContent>
                          <w:p>
                            <w:pPr>
                              <w:spacing w:line="360" w:lineRule="auto"/>
                              <w:rPr>
                                <w:sz w:val="24"/>
                              </w:rPr>
                            </w:pPr>
                            <w:r>
                              <w:rPr>
                                <w:rFonts w:hint="eastAsia"/>
                                <w:sz w:val="24"/>
                              </w:rPr>
                              <w:t>第i项评价指标为一般指标项，</w:t>
                            </w:r>
                            <w:r>
                              <w:rPr>
                                <w:rFonts w:hint="eastAsia"/>
                                <w:i/>
                                <w:sz w:val="24"/>
                              </w:rPr>
                              <w:t>Si</w:t>
                            </w:r>
                            <w:r>
                              <w:rPr>
                                <w:rFonts w:hint="eastAsia"/>
                                <w:sz w:val="24"/>
                              </w:rPr>
                              <w:t>值取1；</w:t>
                            </w:r>
                          </w:p>
                          <w:p>
                            <w:pPr>
                              <w:spacing w:line="360" w:lineRule="auto"/>
                              <w:rPr>
                                <w:sz w:val="24"/>
                              </w:rPr>
                            </w:pPr>
                            <w:r>
                              <w:rPr>
                                <w:rFonts w:hint="eastAsia"/>
                                <w:sz w:val="24"/>
                              </w:rPr>
                              <w:t>第i项评价指标为重点指标项，</w:t>
                            </w:r>
                            <w:r>
                              <w:rPr>
                                <w:rFonts w:hint="eastAsia"/>
                                <w:i/>
                                <w:sz w:val="24"/>
                              </w:rPr>
                              <w:t>Si</w:t>
                            </w:r>
                            <w:r>
                              <w:rPr>
                                <w:rFonts w:hint="eastAsia"/>
                                <w:sz w:val="24"/>
                              </w:rPr>
                              <w:t>值取计算值，最大为1.5。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4.75pt;margin-top:20.35pt;height:51.8pt;width:317.45pt;z-index:251660288;mso-width-relative:page;mso-height-relative:page;" fillcolor="#FFFFFF" filled="t" stroked="f" coordsize="21600,21600" o:gfxdata="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pg8TdgA&#10;AAAKAQAADwAAAAAAAAABACAAAAAiAAAAZHJzL2Rvd25yZXYueG1sUEsBAhQAFAAAAAgAh07iQG4O&#10;X1kfAgAABgQAAA4AAAAAAAAAAQAgAAAAJwEAAGRycy9lMm9Eb2MueG1sUEsFBgAAAAAGAAYAWQEA&#10;ALgFAAAAAA==&#10;">
                <v:fill on="t" focussize="0,0"/>
                <v:stroke on="f" miterlimit="8" joinstyle="miter"/>
                <v:imagedata o:title=""/>
                <o:lock v:ext="edit" aspectratio="f"/>
                <v:textbox>
                  <w:txbxContent>
                    <w:p>
                      <w:pPr>
                        <w:spacing w:line="360" w:lineRule="auto"/>
                        <w:rPr>
                          <w:sz w:val="24"/>
                        </w:rPr>
                      </w:pPr>
                      <w:r>
                        <w:rPr>
                          <w:rFonts w:hint="eastAsia"/>
                          <w:sz w:val="24"/>
                        </w:rPr>
                        <w:t>第i项评价指标为一般指标项，</w:t>
                      </w:r>
                      <w:r>
                        <w:rPr>
                          <w:rFonts w:hint="eastAsia"/>
                          <w:i/>
                          <w:sz w:val="24"/>
                        </w:rPr>
                        <w:t>Si</w:t>
                      </w:r>
                      <w:r>
                        <w:rPr>
                          <w:rFonts w:hint="eastAsia"/>
                          <w:sz w:val="24"/>
                        </w:rPr>
                        <w:t>值取1；</w:t>
                      </w:r>
                    </w:p>
                    <w:p>
                      <w:pPr>
                        <w:spacing w:line="360" w:lineRule="auto"/>
                        <w:rPr>
                          <w:sz w:val="24"/>
                        </w:rPr>
                      </w:pPr>
                      <w:r>
                        <w:rPr>
                          <w:rFonts w:hint="eastAsia"/>
                          <w:sz w:val="24"/>
                        </w:rPr>
                        <w:t>第i项评价指标为重点指标项，</w:t>
                      </w:r>
                      <w:r>
                        <w:rPr>
                          <w:rFonts w:hint="eastAsia"/>
                          <w:i/>
                          <w:sz w:val="24"/>
                        </w:rPr>
                        <w:t>Si</w:t>
                      </w:r>
                      <w:r>
                        <w:rPr>
                          <w:rFonts w:hint="eastAsia"/>
                          <w:sz w:val="24"/>
                        </w:rPr>
                        <w:t>值取计算值，最大为1.5。</w:t>
                      </w:r>
                    </w:p>
                  </w:txbxContent>
                </v:textbox>
              </v:shape>
            </w:pict>
          </mc:Fallback>
        </mc:AlternateContent>
      </w:r>
      <w:r>
        <w:rPr>
          <w:rFonts w:hint="eastAsia" w:ascii="宋体" w:hAnsi="宋体"/>
          <w:sz w:val="24"/>
        </w:rPr>
        <w:t>Si值计算结果＜0.2时，Si值取0.2；</w:t>
      </w:r>
    </w:p>
    <w:p>
      <w:pPr>
        <w:spacing w:before="374" w:beforeLines="120" w:after="156" w:afterLines="50"/>
        <w:ind w:firstLine="480" w:firstLineChars="200"/>
        <w:rPr>
          <w:sz w:val="24"/>
        </w:rPr>
      </w:pPr>
      <w:r>
        <w:rPr>
          <w:rFonts w:hint="eastAsia"/>
          <w:i/>
          <w:sz w:val="24"/>
        </w:rPr>
        <mc:AlternateContent>
          <mc:Choice Requires="wps">
            <w:drawing>
              <wp:anchor distT="0" distB="0" distL="114300" distR="114300" simplePos="0" relativeHeight="251661312" behindDoc="0" locked="0" layoutInCell="1" allowOverlap="1">
                <wp:simplePos x="0" y="0"/>
                <wp:positionH relativeFrom="column">
                  <wp:posOffset>1747520</wp:posOffset>
                </wp:positionH>
                <wp:positionV relativeFrom="paragraph">
                  <wp:posOffset>42545</wp:posOffset>
                </wp:positionV>
                <wp:extent cx="116840" cy="394970"/>
                <wp:effectExtent l="0" t="0" r="17145" b="24130"/>
                <wp:wrapNone/>
                <wp:docPr id="10" name="左大括号 10"/>
                <wp:cNvGraphicFramePr/>
                <a:graphic xmlns:a="http://schemas.openxmlformats.org/drawingml/2006/main">
                  <a:graphicData uri="http://schemas.microsoft.com/office/word/2010/wordprocessingShape">
                    <wps:wsp>
                      <wps:cNvSpPr/>
                      <wps:spPr>
                        <a:xfrm>
                          <a:off x="0" y="0"/>
                          <a:ext cx="116586" cy="3949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37.6pt;margin-top:3.35pt;height:31.1pt;width:9.2pt;z-index:251661312;v-text-anchor:middle;mso-width-relative:page;mso-height-relative:page;" filled="f" stroked="t" coordsize="21600,21600" o:gfxdata="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wC7otoAAAAIAQAADwAAAAAAAAABACAAAAAiAAAAZHJzL2Rvd25yZXYueG1s&#10;UEsBAhQAFAAAAAgAh07iQKrz/EBoAgAAqgQAAA4AAAAAAAAAAQAgAAAAKQEAAGRycy9lMm9Eb2Mu&#10;eG1sUEsFBgAAAAAGAAYAWQEAAAMGAAAAAA==&#10;" adj="531,10800">
                <v:fill on="f" focussize="0,0"/>
                <v:stroke color="#000000 [3200]" joinstyle="round"/>
                <v:imagedata o:title=""/>
                <o:lock v:ext="edit" aspectratio="f"/>
              </v:shape>
            </w:pict>
          </mc:Fallback>
        </mc:AlternateContent>
      </w:r>
      <w:r>
        <w:rPr>
          <w:rFonts w:hint="eastAsia"/>
          <w:i/>
          <w:sz w:val="24"/>
        </w:rPr>
        <w:t>Si</w:t>
      </w:r>
      <w:r>
        <w:rPr>
          <w:rFonts w:hint="eastAsia"/>
          <w:sz w:val="24"/>
        </w:rPr>
        <w:t>值计算结果＞1时，</w:t>
      </w:r>
    </w:p>
    <w:p>
      <w:pPr>
        <w:spacing w:before="156" w:beforeLines="50" w:after="156" w:afterLines="50"/>
        <w:ind w:firstLine="2760" w:firstLineChars="1150"/>
        <w:rPr>
          <w:sz w:val="24"/>
        </w:rPr>
      </w:pPr>
    </w:p>
    <w:p>
      <w:pPr>
        <w:spacing w:before="156" w:beforeLines="50" w:after="156" w:afterLines="50"/>
        <w:ind w:firstLine="480" w:firstLineChars="200"/>
        <w:rPr>
          <w:sz w:val="24"/>
        </w:rPr>
      </w:pPr>
      <w:r>
        <w:rPr>
          <w:rFonts w:hint="eastAsia"/>
          <w:sz w:val="24"/>
        </w:rPr>
        <w:t>定量评价指标考核总分值按式（3）计算：</w:t>
      </w:r>
    </w:p>
    <w:p>
      <w:pPr>
        <w:spacing w:before="156" w:beforeLines="50" w:after="156" w:afterLines="50"/>
        <w:ind w:firstLine="1920" w:firstLineChars="800"/>
        <w:rPr>
          <w:sz w:val="24"/>
        </w:rPr>
      </w:pPr>
      <w:r>
        <w:rPr>
          <w:position w:val="-28"/>
          <w:sz w:val="24"/>
        </w:rPr>
        <w:object>
          <v:shape id="_x0000_i1027" o:spt="75" type="#_x0000_t75" style="height:35.05pt;width:85.7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sz w:val="24"/>
        </w:rPr>
        <w:t>………………………………（3）</w:t>
      </w:r>
    </w:p>
    <w:p>
      <w:pPr>
        <w:spacing w:before="156" w:beforeLines="50" w:after="156" w:afterLines="50"/>
        <w:ind w:firstLine="480" w:firstLineChars="200"/>
        <w:rPr>
          <w:sz w:val="24"/>
        </w:rPr>
      </w:pPr>
      <w:r>
        <w:rPr>
          <w:rFonts w:hint="eastAsia"/>
          <w:sz w:val="24"/>
        </w:rPr>
        <w:t>式中：</w:t>
      </w:r>
      <w:r>
        <w:rPr>
          <w:rFonts w:hint="eastAsia"/>
          <w:i/>
          <w:sz w:val="24"/>
        </w:rPr>
        <w:t>P</w:t>
      </w:r>
      <w:r>
        <w:rPr>
          <w:rFonts w:hint="eastAsia"/>
          <w:i/>
          <w:sz w:val="24"/>
          <w:vertAlign w:val="subscript"/>
        </w:rPr>
        <w:t>1</w:t>
      </w:r>
      <w:r>
        <w:rPr>
          <w:rFonts w:hint="eastAsia"/>
          <w:sz w:val="24"/>
        </w:rPr>
        <w:t>——定量评价考核总分值；</w:t>
      </w:r>
    </w:p>
    <w:p>
      <w:pPr>
        <w:spacing w:before="156" w:beforeLines="50" w:after="156" w:afterLines="50"/>
        <w:ind w:firstLine="1200" w:firstLineChars="500"/>
        <w:rPr>
          <w:sz w:val="24"/>
        </w:rPr>
      </w:pPr>
      <w:r>
        <w:rPr>
          <w:rFonts w:hint="eastAsia"/>
          <w:i/>
          <w:sz w:val="24"/>
        </w:rPr>
        <w:t>n</w:t>
      </w:r>
      <w:r>
        <w:rPr>
          <w:rFonts w:hint="eastAsia"/>
          <w:sz w:val="24"/>
        </w:rPr>
        <w:t>——参与考核的定量评价的二级指标项目总数；</w:t>
      </w:r>
    </w:p>
    <w:p>
      <w:pPr>
        <w:spacing w:before="156" w:beforeLines="50" w:after="156" w:afterLines="50"/>
        <w:ind w:firstLine="1200" w:firstLineChars="500"/>
        <w:rPr>
          <w:sz w:val="24"/>
        </w:rPr>
      </w:pPr>
      <w:r>
        <w:rPr>
          <w:rFonts w:hint="eastAsia"/>
          <w:i/>
          <w:sz w:val="24"/>
        </w:rPr>
        <w:t>S</w:t>
      </w:r>
      <w:r>
        <w:rPr>
          <w:rFonts w:hint="eastAsia"/>
          <w:i/>
          <w:sz w:val="24"/>
          <w:vertAlign w:val="subscript"/>
        </w:rPr>
        <w:t>i</w:t>
      </w:r>
      <w:r>
        <w:rPr>
          <w:rFonts w:hint="eastAsia"/>
          <w:sz w:val="24"/>
        </w:rPr>
        <w:t>——第i项评价指标的单项评价指数；</w:t>
      </w:r>
    </w:p>
    <w:p>
      <w:pPr>
        <w:spacing w:before="156" w:beforeLines="50" w:after="156" w:afterLines="50"/>
        <w:ind w:firstLine="1200" w:firstLineChars="500"/>
        <w:rPr>
          <w:sz w:val="24"/>
        </w:rPr>
      </w:pPr>
      <w:r>
        <w:rPr>
          <w:rFonts w:hint="eastAsia"/>
          <w:i/>
          <w:sz w:val="24"/>
        </w:rPr>
        <w:t>K</w:t>
      </w:r>
      <w:r>
        <w:rPr>
          <w:rFonts w:hint="eastAsia"/>
          <w:i/>
          <w:sz w:val="24"/>
          <w:vertAlign w:val="subscript"/>
        </w:rPr>
        <w:t>i</w:t>
      </w:r>
      <w:r>
        <w:rPr>
          <w:rFonts w:hint="eastAsia"/>
          <w:sz w:val="24"/>
        </w:rPr>
        <w:t>——第i项评价指标的指标分值中的上限分值。</w:t>
      </w:r>
    </w:p>
    <w:p>
      <w:pPr>
        <w:spacing w:before="156" w:beforeLines="50" w:after="156" w:afterLines="50" w:line="440" w:lineRule="exact"/>
        <w:ind w:firstLine="480" w:firstLineChars="200"/>
        <w:rPr>
          <w:rFonts w:ascii="宋体" w:hAnsi="宋体"/>
          <w:sz w:val="32"/>
        </w:rPr>
      </w:pPr>
      <w:r>
        <w:rPr>
          <w:rFonts w:hint="eastAsia"/>
          <w:sz w:val="24"/>
        </w:rPr>
        <w:t>由于园区因自身统计原因值所造成的缺项，该项考核分值为零。</w:t>
      </w:r>
    </w:p>
    <w:p>
      <w:pPr>
        <w:numPr>
          <w:ilvl w:val="0"/>
          <w:numId w:val="6"/>
        </w:numPr>
        <w:spacing w:before="156" w:beforeLines="50" w:after="156" w:afterLines="50" w:line="440" w:lineRule="exact"/>
        <w:rPr>
          <w:rFonts w:ascii="宋体" w:hAnsi="宋体"/>
          <w:sz w:val="24"/>
        </w:rPr>
      </w:pPr>
      <w:r>
        <w:rPr>
          <w:rFonts w:hint="eastAsia" w:ascii="宋体" w:hAnsi="宋体"/>
          <w:sz w:val="24"/>
        </w:rPr>
        <w:t>定性评价指标的考核评分计算</w:t>
      </w:r>
    </w:p>
    <w:p>
      <w:pPr>
        <w:spacing w:before="156" w:beforeLines="50" w:after="156" w:afterLines="50" w:line="440" w:lineRule="exact"/>
        <w:ind w:firstLine="480" w:firstLineChars="200"/>
        <w:rPr>
          <w:rFonts w:ascii="宋体" w:hAnsi="宋体"/>
          <w:sz w:val="24"/>
        </w:rPr>
      </w:pPr>
      <w:r>
        <w:rPr>
          <w:rFonts w:hint="eastAsia" w:ascii="宋体" w:hAnsi="宋体"/>
          <w:sz w:val="24"/>
        </w:rPr>
        <w:t>定性评价指标实际情况符合则为上限分值，不符合则为下限分值，指标项“20.园区管理机构通过ISO14000和ISO9001认证”，若只通过一项认证，则计上限分值的50%。</w:t>
      </w:r>
    </w:p>
    <w:p>
      <w:pPr>
        <w:spacing w:before="156" w:beforeLines="50" w:after="156" w:afterLines="50"/>
        <w:ind w:firstLine="480" w:firstLineChars="200"/>
        <w:rPr>
          <w:sz w:val="24"/>
        </w:rPr>
      </w:pPr>
      <w:r>
        <w:rPr>
          <w:rFonts w:hint="eastAsia"/>
          <w:sz w:val="24"/>
        </w:rPr>
        <w:t xml:space="preserve">总分值按式（4）计算： </w:t>
      </w:r>
    </w:p>
    <w:p>
      <w:pPr>
        <w:tabs>
          <w:tab w:val="left" w:pos="3285"/>
        </w:tabs>
        <w:ind w:firstLine="1920" w:firstLineChars="800"/>
        <w:rPr>
          <w:sz w:val="24"/>
        </w:rPr>
      </w:pPr>
      <w:r>
        <w:rPr>
          <w:position w:val="-28"/>
          <w:sz w:val="24"/>
        </w:rPr>
        <w:object>
          <v:shape id="_x0000_i1028" o:spt="75" type="#_x0000_t75" style="height:33.8pt;width:51.3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宋体" w:hAnsi="宋体"/>
          <w:sz w:val="24"/>
        </w:rPr>
        <w:t>………………………………</w:t>
      </w:r>
      <w:r>
        <w:rPr>
          <w:rFonts w:hint="eastAsia"/>
          <w:sz w:val="24"/>
        </w:rPr>
        <w:t>（4）</w:t>
      </w:r>
    </w:p>
    <w:p>
      <w:pPr>
        <w:spacing w:before="156" w:beforeLines="50" w:after="156" w:afterLines="50"/>
        <w:ind w:firstLine="480" w:firstLineChars="200"/>
        <w:rPr>
          <w:sz w:val="24"/>
        </w:rPr>
      </w:pPr>
      <w:r>
        <w:rPr>
          <w:rFonts w:hint="eastAsia"/>
          <w:sz w:val="24"/>
        </w:rPr>
        <w:t>式中：</w:t>
      </w:r>
      <w:r>
        <w:rPr>
          <w:rFonts w:hint="eastAsia"/>
          <w:i/>
          <w:sz w:val="24"/>
        </w:rPr>
        <w:t>P</w:t>
      </w:r>
      <w:r>
        <w:rPr>
          <w:rFonts w:hint="eastAsia"/>
          <w:i/>
          <w:sz w:val="24"/>
          <w:vertAlign w:val="subscript"/>
        </w:rPr>
        <w:t>2</w:t>
      </w:r>
      <w:r>
        <w:rPr>
          <w:rFonts w:hint="eastAsia"/>
          <w:sz w:val="24"/>
        </w:rPr>
        <w:t>——定性评价二级指标考核总分值；</w:t>
      </w:r>
    </w:p>
    <w:p>
      <w:pPr>
        <w:spacing w:before="156" w:beforeLines="50" w:after="156" w:afterLines="50"/>
        <w:ind w:firstLine="1200" w:firstLineChars="500"/>
        <w:rPr>
          <w:sz w:val="24"/>
        </w:rPr>
      </w:pPr>
      <w:r>
        <w:rPr>
          <w:rFonts w:hint="eastAsia"/>
          <w:i/>
          <w:sz w:val="24"/>
        </w:rPr>
        <w:t>F</w:t>
      </w:r>
      <w:r>
        <w:rPr>
          <w:rFonts w:hint="eastAsia"/>
          <w:i/>
          <w:sz w:val="24"/>
          <w:vertAlign w:val="subscript"/>
        </w:rPr>
        <w:t>i</w:t>
      </w:r>
      <w:r>
        <w:rPr>
          <w:rFonts w:hint="eastAsia"/>
          <w:sz w:val="24"/>
        </w:rPr>
        <w:t>——定性评价指标中的第i项二级指标的得分值；</w:t>
      </w:r>
    </w:p>
    <w:p>
      <w:pPr>
        <w:spacing w:before="156" w:beforeLines="50" w:after="156" w:afterLines="50" w:line="440" w:lineRule="exact"/>
        <w:ind w:firstLine="1200" w:firstLineChars="500"/>
        <w:rPr>
          <w:rFonts w:ascii="宋体" w:hAnsi="宋体"/>
          <w:sz w:val="24"/>
        </w:rPr>
      </w:pPr>
      <w:r>
        <w:rPr>
          <w:rFonts w:hint="eastAsia"/>
          <w:i/>
          <w:sz w:val="24"/>
        </w:rPr>
        <w:t>n</w:t>
      </w:r>
      <w:r>
        <w:rPr>
          <w:rFonts w:hint="eastAsia"/>
          <w:sz w:val="24"/>
        </w:rPr>
        <w:t>——参与考核的定性评价二级指标的项目总数。</w:t>
      </w:r>
    </w:p>
    <w:p>
      <w:pPr>
        <w:numPr>
          <w:ilvl w:val="0"/>
          <w:numId w:val="6"/>
        </w:numPr>
        <w:spacing w:before="156" w:beforeLines="50" w:after="156" w:afterLines="50" w:line="440" w:lineRule="exact"/>
        <w:rPr>
          <w:rFonts w:ascii="宋体" w:hAnsi="宋体"/>
          <w:sz w:val="24"/>
        </w:rPr>
      </w:pPr>
      <w:r>
        <w:rPr>
          <w:rFonts w:hint="eastAsia" w:ascii="宋体" w:hAnsi="宋体"/>
          <w:sz w:val="24"/>
        </w:rPr>
        <w:t>综合评价的考核评分计算</w:t>
      </w:r>
    </w:p>
    <w:p>
      <w:pPr>
        <w:pStyle w:val="22"/>
        <w:spacing w:line="440" w:lineRule="exact"/>
        <w:ind w:firstLine="480"/>
        <w:rPr>
          <w:rFonts w:hAnsi="宋体"/>
          <w:sz w:val="24"/>
          <w:szCs w:val="24"/>
        </w:rPr>
      </w:pPr>
      <w:r>
        <w:rPr>
          <w:rFonts w:hAnsi="宋体"/>
          <w:sz w:val="24"/>
          <w:szCs w:val="24"/>
        </w:rPr>
        <w:t>园区综合评价得分</w:t>
      </w:r>
      <w:r>
        <w:rPr>
          <w:rFonts w:hint="eastAsia" w:hAnsi="宋体"/>
          <w:sz w:val="24"/>
          <w:szCs w:val="24"/>
        </w:rPr>
        <w:t>值按式（5）</w:t>
      </w:r>
      <w:r>
        <w:rPr>
          <w:rFonts w:hAnsi="宋体"/>
          <w:sz w:val="24"/>
          <w:szCs w:val="24"/>
        </w:rPr>
        <w:t>计算：</w:t>
      </w:r>
    </w:p>
    <w:p>
      <w:pPr>
        <w:tabs>
          <w:tab w:val="left" w:pos="3285"/>
        </w:tabs>
        <w:spacing w:line="440" w:lineRule="exact"/>
        <w:ind w:firstLine="1920" w:firstLineChars="800"/>
        <w:rPr>
          <w:rFonts w:ascii="宋体" w:hAnsi="宋体"/>
          <w:sz w:val="24"/>
        </w:rPr>
      </w:pPr>
      <w:r>
        <w:rPr>
          <w:rFonts w:ascii="宋体" w:hAnsi="宋体"/>
          <w:position w:val="-10"/>
          <w:sz w:val="24"/>
        </w:rPr>
        <w:object>
          <v:shape id="_x0000_i1029" o:spt="75" type="#_x0000_t75" style="height:18.15pt;width:65.1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ascii="宋体" w:hAnsi="宋体"/>
          <w:sz w:val="24"/>
        </w:rPr>
        <w:t>………………………………</w:t>
      </w:r>
      <w:r>
        <w:rPr>
          <w:rFonts w:hint="eastAsia" w:ascii="宋体" w:hAnsi="宋体"/>
          <w:sz w:val="24"/>
        </w:rPr>
        <w:t>（5）</w:t>
      </w:r>
    </w:p>
    <w:p>
      <w:pPr>
        <w:spacing w:before="156" w:beforeLines="50" w:after="156" w:afterLines="50" w:line="440" w:lineRule="exact"/>
        <w:ind w:firstLine="480" w:firstLineChars="200"/>
        <w:rPr>
          <w:rFonts w:ascii="宋体" w:hAnsi="宋体"/>
          <w:sz w:val="24"/>
        </w:rPr>
      </w:pPr>
      <w:r>
        <w:rPr>
          <w:rFonts w:hint="eastAsia" w:ascii="宋体" w:hAnsi="宋体"/>
          <w:sz w:val="24"/>
        </w:rPr>
        <w:t>式中：</w:t>
      </w:r>
      <w:r>
        <w:rPr>
          <w:rFonts w:hint="eastAsia" w:ascii="宋体" w:hAnsi="宋体"/>
          <w:i/>
          <w:sz w:val="24"/>
        </w:rPr>
        <w:t>P</w:t>
      </w:r>
      <w:r>
        <w:rPr>
          <w:rFonts w:hint="eastAsia" w:ascii="宋体" w:hAnsi="宋体"/>
          <w:sz w:val="24"/>
        </w:rPr>
        <w:t>——园区综合评价得分值；</w:t>
      </w:r>
    </w:p>
    <w:p>
      <w:pPr>
        <w:spacing w:before="156" w:beforeLines="50" w:after="156" w:afterLines="50" w:line="440" w:lineRule="exact"/>
        <w:ind w:firstLine="1200" w:firstLineChars="500"/>
        <w:rPr>
          <w:rFonts w:ascii="宋体" w:hAnsi="宋体"/>
          <w:sz w:val="24"/>
        </w:rPr>
      </w:pPr>
      <w:r>
        <w:rPr>
          <w:rFonts w:hint="eastAsia" w:ascii="宋体" w:hAnsi="宋体"/>
          <w:i/>
          <w:sz w:val="24"/>
        </w:rPr>
        <w:t>P</w:t>
      </w:r>
      <w:r>
        <w:rPr>
          <w:rFonts w:hint="eastAsia" w:ascii="宋体" w:hAnsi="宋体"/>
          <w:i/>
          <w:sz w:val="24"/>
          <w:vertAlign w:val="subscript"/>
        </w:rPr>
        <w:t>1</w:t>
      </w:r>
      <w:r>
        <w:rPr>
          <w:rFonts w:hint="eastAsia" w:ascii="宋体" w:hAnsi="宋体"/>
          <w:sz w:val="24"/>
        </w:rPr>
        <w:t>——定量评价指标中各二级评价指标考核总分值；</w:t>
      </w:r>
    </w:p>
    <w:p>
      <w:pPr>
        <w:autoSpaceDE w:val="0"/>
        <w:autoSpaceDN w:val="0"/>
        <w:adjustRightInd w:val="0"/>
        <w:spacing w:line="440" w:lineRule="exact"/>
        <w:ind w:firstLine="1200" w:firstLineChars="500"/>
        <w:jc w:val="left"/>
        <w:rPr>
          <w:kern w:val="0"/>
          <w:sz w:val="24"/>
        </w:rPr>
      </w:pPr>
      <w:r>
        <w:rPr>
          <w:rFonts w:hint="eastAsia" w:hAnsi="宋体"/>
          <w:i/>
          <w:sz w:val="24"/>
        </w:rPr>
        <w:t>P</w:t>
      </w:r>
      <w:r>
        <w:rPr>
          <w:rFonts w:hint="eastAsia" w:hAnsi="宋体"/>
          <w:i/>
          <w:sz w:val="24"/>
          <w:vertAlign w:val="subscript"/>
        </w:rPr>
        <w:t>2</w:t>
      </w:r>
      <w:r>
        <w:rPr>
          <w:rFonts w:hint="eastAsia" w:hAnsi="宋体"/>
          <w:sz w:val="24"/>
        </w:rPr>
        <w:t>——定性评价指标中各二级评价指标考核总分值</w:t>
      </w:r>
      <w:r>
        <w:rPr>
          <w:rFonts w:hint="eastAsia"/>
        </w:rPr>
        <w:t>。</w:t>
      </w:r>
    </w:p>
    <w:p>
      <w:pPr>
        <w:autoSpaceDE w:val="0"/>
        <w:autoSpaceDN w:val="0"/>
        <w:adjustRightInd w:val="0"/>
        <w:spacing w:line="440" w:lineRule="exact"/>
        <w:ind w:firstLine="480" w:firstLineChars="200"/>
        <w:jc w:val="left"/>
        <w:rPr>
          <w:kern w:val="0"/>
          <w:sz w:val="24"/>
        </w:rPr>
      </w:pPr>
    </w:p>
    <w:p>
      <w:pPr>
        <w:pStyle w:val="11"/>
        <w:spacing w:before="156" w:beforeLines="50" w:after="156" w:afterLines="50" w:line="440" w:lineRule="exact"/>
        <w:ind w:firstLine="0"/>
        <w:outlineLvl w:val="0"/>
        <w:rPr>
          <w:rFonts w:ascii="Times New Roman" w:eastAsia="宋体"/>
          <w:b/>
          <w:kern w:val="0"/>
          <w:sz w:val="24"/>
          <w:szCs w:val="24"/>
        </w:rPr>
      </w:pPr>
      <w:bookmarkStart w:id="15" w:name="_Toc23770171"/>
      <w:r>
        <w:rPr>
          <w:rFonts w:hint="eastAsia" w:ascii="Times New Roman" w:eastAsia="宋体"/>
          <w:b/>
          <w:kern w:val="0"/>
          <w:sz w:val="24"/>
          <w:szCs w:val="24"/>
          <w:highlight w:val="yellow"/>
        </w:rPr>
        <w:t>三、</w:t>
      </w:r>
      <w:r>
        <w:rPr>
          <w:rFonts w:ascii="Times New Roman" w:eastAsia="宋体"/>
          <w:b/>
          <w:kern w:val="0"/>
          <w:sz w:val="24"/>
          <w:szCs w:val="24"/>
          <w:highlight w:val="yellow"/>
        </w:rPr>
        <w:t xml:space="preserve"> </w:t>
      </w:r>
      <w:r>
        <w:rPr>
          <w:rFonts w:hint="eastAsia" w:ascii="Times New Roman" w:eastAsia="宋体"/>
          <w:b/>
          <w:kern w:val="0"/>
          <w:sz w:val="24"/>
          <w:szCs w:val="24"/>
          <w:highlight w:val="yellow"/>
        </w:rPr>
        <w:t>主要验证</w:t>
      </w:r>
      <w:r>
        <w:rPr>
          <w:rFonts w:ascii="Times New Roman" w:eastAsia="宋体"/>
          <w:b/>
          <w:kern w:val="0"/>
          <w:sz w:val="24"/>
          <w:szCs w:val="24"/>
          <w:highlight w:val="yellow"/>
        </w:rPr>
        <w:t>情况</w:t>
      </w:r>
      <w:bookmarkEnd w:id="15"/>
    </w:p>
    <w:p>
      <w:pPr>
        <w:rPr>
          <w:rFonts w:hint="eastAsia"/>
        </w:rPr>
      </w:pPr>
      <w:bookmarkStart w:id="16" w:name="_Toc23770172"/>
    </w:p>
    <w:p>
      <w:pPr>
        <w:pStyle w:val="11"/>
        <w:spacing w:before="156" w:beforeLines="50" w:after="156" w:afterLines="50" w:line="440" w:lineRule="exact"/>
        <w:ind w:firstLine="0"/>
        <w:outlineLvl w:val="0"/>
        <w:rPr>
          <w:rFonts w:ascii="Times New Roman" w:eastAsia="宋体"/>
          <w:b/>
          <w:kern w:val="0"/>
          <w:sz w:val="24"/>
          <w:szCs w:val="24"/>
        </w:rPr>
      </w:pPr>
      <w:r>
        <w:rPr>
          <w:rFonts w:hint="eastAsia" w:ascii="Times New Roman" w:eastAsia="宋体"/>
          <w:b/>
          <w:kern w:val="0"/>
          <w:sz w:val="24"/>
          <w:szCs w:val="24"/>
        </w:rPr>
        <w:t>四、</w:t>
      </w:r>
      <w:r>
        <w:rPr>
          <w:rFonts w:ascii="Times New Roman" w:eastAsia="宋体"/>
          <w:b/>
          <w:kern w:val="0"/>
          <w:sz w:val="24"/>
          <w:szCs w:val="24"/>
        </w:rPr>
        <w:t xml:space="preserve"> 涉及专利情况</w:t>
      </w:r>
      <w:bookmarkEnd w:id="16"/>
    </w:p>
    <w:p>
      <w:pPr>
        <w:spacing w:line="440" w:lineRule="exact"/>
        <w:ind w:firstLine="480"/>
        <w:rPr>
          <w:color w:val="000000"/>
          <w:sz w:val="24"/>
        </w:rPr>
      </w:pPr>
      <w:r>
        <w:rPr>
          <w:color w:val="000000"/>
          <w:sz w:val="24"/>
        </w:rPr>
        <w:t>本标准不涉及专利</w:t>
      </w:r>
      <w:r>
        <w:rPr>
          <w:rFonts w:hint="eastAsia"/>
          <w:color w:val="000000"/>
          <w:sz w:val="24"/>
        </w:rPr>
        <w:t>问题</w:t>
      </w:r>
      <w:r>
        <w:rPr>
          <w:color w:val="000000"/>
          <w:sz w:val="24"/>
        </w:rPr>
        <w:t>。</w:t>
      </w:r>
    </w:p>
    <w:p>
      <w:pPr>
        <w:pStyle w:val="11"/>
        <w:spacing w:before="156" w:beforeLines="50" w:after="156" w:afterLines="50" w:line="440" w:lineRule="exact"/>
        <w:ind w:firstLine="0"/>
        <w:outlineLvl w:val="0"/>
        <w:rPr>
          <w:rFonts w:ascii="Times New Roman" w:eastAsia="宋体"/>
          <w:b/>
          <w:kern w:val="0"/>
          <w:sz w:val="24"/>
          <w:szCs w:val="24"/>
        </w:rPr>
      </w:pPr>
      <w:bookmarkStart w:id="17" w:name="_Toc23770173"/>
      <w:r>
        <w:rPr>
          <w:rFonts w:hint="eastAsia" w:ascii="Times New Roman" w:eastAsia="宋体"/>
          <w:b/>
          <w:kern w:val="0"/>
          <w:sz w:val="24"/>
          <w:szCs w:val="24"/>
        </w:rPr>
        <w:t>五、预期达到的社会效益、对产业发展的作用等情况</w:t>
      </w:r>
      <w:bookmarkEnd w:id="17"/>
    </w:p>
    <w:p>
      <w:pPr>
        <w:spacing w:line="440" w:lineRule="exact"/>
        <w:ind w:firstLine="480"/>
        <w:rPr>
          <w:b/>
          <w:color w:val="000000"/>
          <w:sz w:val="24"/>
        </w:rPr>
      </w:pPr>
      <w:r>
        <w:rPr>
          <w:rFonts w:hint="eastAsia"/>
          <w:b/>
          <w:color w:val="000000"/>
          <w:sz w:val="24"/>
        </w:rPr>
        <w:t>1、 标准实施后预期达到的社会效益</w:t>
      </w:r>
    </w:p>
    <w:p>
      <w:pPr>
        <w:spacing w:line="440" w:lineRule="exact"/>
        <w:ind w:firstLine="480"/>
        <w:rPr>
          <w:color w:val="000000"/>
          <w:sz w:val="24"/>
        </w:rPr>
      </w:pPr>
      <w:r>
        <w:rPr>
          <w:rFonts w:hint="eastAsia"/>
          <w:color w:val="000000"/>
          <w:sz w:val="24"/>
        </w:rPr>
        <w:t>目前，我国已成为世界上人造革与合成革生产第一大国、消费大国和进出口贸易大国</w:t>
      </w:r>
      <w:r>
        <w:rPr>
          <w:kern w:val="0"/>
          <w:sz w:val="24"/>
        </w:rPr>
        <w:t>。</w:t>
      </w:r>
      <w:r>
        <w:rPr>
          <w:rFonts w:hint="eastAsia"/>
          <w:color w:val="000000"/>
          <w:sz w:val="24"/>
        </w:rPr>
        <w:t>本标准实施后，将引导我国人造革与合成革园区积极建设绿色园区，构建</w:t>
      </w:r>
      <w:r>
        <w:rPr>
          <w:rFonts w:hint="eastAsia"/>
          <w:kern w:val="0"/>
          <w:sz w:val="24"/>
        </w:rPr>
        <w:t>高效、清洁、低碳、循环</w:t>
      </w:r>
      <w:r>
        <w:rPr>
          <w:rFonts w:hint="eastAsia"/>
          <w:color w:val="000000"/>
          <w:sz w:val="24"/>
        </w:rPr>
        <w:t>的绿色生产体系，在节能、节水、减少污染物排放、为改善工业园区及周边生态环境发挥重要的作用。</w:t>
      </w:r>
    </w:p>
    <w:p>
      <w:pPr>
        <w:spacing w:line="440" w:lineRule="exact"/>
        <w:ind w:firstLine="480"/>
        <w:rPr>
          <w:b/>
          <w:color w:val="000000"/>
          <w:sz w:val="24"/>
        </w:rPr>
      </w:pPr>
      <w:r>
        <w:rPr>
          <w:rFonts w:hint="eastAsia"/>
          <w:b/>
          <w:color w:val="000000"/>
          <w:sz w:val="24"/>
        </w:rPr>
        <w:t>2、 标准实施后对产业发展的作用</w:t>
      </w:r>
    </w:p>
    <w:p>
      <w:pPr>
        <w:spacing w:line="440" w:lineRule="exact"/>
        <w:ind w:firstLine="480"/>
        <w:rPr>
          <w:color w:val="000000"/>
          <w:sz w:val="24"/>
        </w:rPr>
      </w:pPr>
      <w:r>
        <w:rPr>
          <w:kern w:val="0"/>
          <w:sz w:val="24"/>
        </w:rPr>
        <w:t>人造革与合成革工业园区是产业发展的重要载体和平台</w:t>
      </w:r>
      <w:r>
        <w:rPr>
          <w:rFonts w:hint="eastAsia"/>
          <w:kern w:val="0"/>
          <w:sz w:val="24"/>
        </w:rPr>
        <w:t>。</w:t>
      </w:r>
      <w:r>
        <w:rPr>
          <w:rFonts w:hint="eastAsia"/>
          <w:color w:val="000000"/>
          <w:sz w:val="24"/>
        </w:rPr>
        <w:t>标准的实施可通过</w:t>
      </w:r>
      <w:r>
        <w:rPr>
          <w:rFonts w:hint="eastAsia"/>
          <w:kern w:val="0"/>
          <w:sz w:val="24"/>
        </w:rPr>
        <w:t>在园区规划、空间布局、产业链设计、能源利用、资源利用、基础设施、生态环境、运行管理等方面贯彻资源节约和环境友好理念，从而实现具备布局集聚化、结构绿色化、链接生态化等特色的绿色园区</w:t>
      </w:r>
      <w:r>
        <w:rPr>
          <w:rFonts w:hint="eastAsia"/>
          <w:color w:val="000000"/>
          <w:sz w:val="24"/>
        </w:rPr>
        <w:t>，提升行业绿色发展水平，引导产业向绿色可持续发现发展。</w:t>
      </w:r>
    </w:p>
    <w:p>
      <w:pPr>
        <w:pStyle w:val="11"/>
        <w:spacing w:before="156" w:beforeLines="50" w:after="156" w:afterLines="50" w:line="440" w:lineRule="exact"/>
        <w:ind w:firstLine="0"/>
        <w:outlineLvl w:val="0"/>
        <w:rPr>
          <w:rFonts w:ascii="Times New Roman" w:eastAsia="宋体"/>
          <w:b/>
          <w:kern w:val="0"/>
          <w:sz w:val="24"/>
          <w:szCs w:val="24"/>
        </w:rPr>
      </w:pPr>
      <w:bookmarkStart w:id="18" w:name="_Toc23770174"/>
      <w:r>
        <w:rPr>
          <w:rFonts w:hint="eastAsia" w:ascii="Times New Roman" w:eastAsia="宋体"/>
          <w:b/>
          <w:kern w:val="0"/>
          <w:sz w:val="24"/>
          <w:szCs w:val="24"/>
        </w:rPr>
        <w:t>六、与</w:t>
      </w:r>
      <w:r>
        <w:rPr>
          <w:rFonts w:ascii="Times New Roman" w:eastAsia="宋体"/>
          <w:b/>
          <w:kern w:val="0"/>
          <w:sz w:val="24"/>
          <w:szCs w:val="24"/>
        </w:rPr>
        <w:t>国际</w:t>
      </w:r>
      <w:r>
        <w:rPr>
          <w:rFonts w:hint="eastAsia" w:ascii="Times New Roman" w:eastAsia="宋体"/>
          <w:b/>
          <w:kern w:val="0"/>
          <w:sz w:val="24"/>
          <w:szCs w:val="24"/>
        </w:rPr>
        <w:t>、</w:t>
      </w:r>
      <w:r>
        <w:rPr>
          <w:rFonts w:ascii="Times New Roman" w:eastAsia="宋体"/>
          <w:b/>
          <w:kern w:val="0"/>
          <w:sz w:val="24"/>
          <w:szCs w:val="24"/>
        </w:rPr>
        <w:t>国外</w:t>
      </w:r>
      <w:r>
        <w:rPr>
          <w:rFonts w:hint="eastAsia" w:ascii="Times New Roman" w:eastAsia="宋体"/>
          <w:b/>
          <w:kern w:val="0"/>
          <w:sz w:val="24"/>
          <w:szCs w:val="24"/>
        </w:rPr>
        <w:t>对比</w:t>
      </w:r>
      <w:r>
        <w:rPr>
          <w:rFonts w:ascii="Times New Roman" w:eastAsia="宋体"/>
          <w:b/>
          <w:kern w:val="0"/>
          <w:sz w:val="24"/>
          <w:szCs w:val="24"/>
        </w:rPr>
        <w:t>情况</w:t>
      </w:r>
      <w:bookmarkEnd w:id="18"/>
    </w:p>
    <w:p>
      <w:pPr>
        <w:widowControl/>
        <w:spacing w:line="440" w:lineRule="exact"/>
        <w:ind w:firstLine="480" w:firstLineChars="200"/>
        <w:rPr>
          <w:color w:val="000000"/>
          <w:sz w:val="24"/>
        </w:rPr>
      </w:pPr>
      <w:r>
        <w:rPr>
          <w:rFonts w:hint="eastAsia"/>
          <w:color w:val="000000"/>
          <w:sz w:val="24"/>
        </w:rPr>
        <w:t>本标准没有采用国际标准。</w:t>
      </w:r>
    </w:p>
    <w:p>
      <w:pPr>
        <w:widowControl/>
        <w:spacing w:line="440" w:lineRule="exact"/>
        <w:ind w:firstLine="480" w:firstLineChars="200"/>
        <w:rPr>
          <w:color w:val="000000"/>
          <w:sz w:val="24"/>
        </w:rPr>
      </w:pPr>
      <w:r>
        <w:rPr>
          <w:rFonts w:hint="eastAsia"/>
          <w:color w:val="000000"/>
          <w:sz w:val="24"/>
        </w:rPr>
        <w:t>本标准制订过程中未查到同类国际、国外标准。</w:t>
      </w:r>
    </w:p>
    <w:p>
      <w:pPr>
        <w:widowControl/>
        <w:spacing w:line="440" w:lineRule="exact"/>
        <w:ind w:firstLine="480" w:firstLineChars="200"/>
        <w:rPr>
          <w:color w:val="000000"/>
          <w:sz w:val="24"/>
        </w:rPr>
      </w:pPr>
      <w:r>
        <w:rPr>
          <w:rFonts w:hint="eastAsia"/>
          <w:color w:val="000000"/>
          <w:sz w:val="24"/>
        </w:rPr>
        <w:t>本标准水平为国内先进水平。</w:t>
      </w:r>
    </w:p>
    <w:p>
      <w:pPr>
        <w:pStyle w:val="11"/>
        <w:spacing w:before="156" w:beforeLines="50" w:after="156" w:afterLines="50" w:line="440" w:lineRule="exact"/>
        <w:ind w:firstLine="0"/>
        <w:outlineLvl w:val="0"/>
        <w:rPr>
          <w:rFonts w:ascii="Times New Roman" w:eastAsia="宋体"/>
          <w:b/>
          <w:kern w:val="0"/>
          <w:sz w:val="24"/>
          <w:szCs w:val="24"/>
        </w:rPr>
      </w:pPr>
      <w:r>
        <w:rPr>
          <w:rFonts w:hint="eastAsia" w:ascii="Times New Roman" w:eastAsia="宋体"/>
          <w:b/>
          <w:kern w:val="0"/>
          <w:sz w:val="24"/>
          <w:szCs w:val="24"/>
        </w:rPr>
        <w:t>七、在标准体系中的位置，与现行相关法律、法规、规章及相关标准，特别是强制性标准的协调性</w:t>
      </w:r>
      <w:bookmarkEnd w:id="8"/>
    </w:p>
    <w:p>
      <w:pPr>
        <w:widowControl/>
        <w:spacing w:line="440" w:lineRule="exact"/>
        <w:ind w:firstLine="480" w:firstLineChars="200"/>
        <w:rPr>
          <w:color w:val="000000"/>
          <w:sz w:val="24"/>
        </w:rPr>
      </w:pPr>
      <w:r>
        <w:rPr>
          <w:rFonts w:hint="eastAsia"/>
          <w:color w:val="000000"/>
          <w:sz w:val="24"/>
        </w:rPr>
        <w:t>本标准申报项目属于工信部绿色制造标准体系中GM12 “轻工”大类，06“绿色评价与服务”中类 ， 01“绿色评价、标识与报告方面的标准”。体系图如下：</w:t>
      </w:r>
    </w:p>
    <w:p>
      <w:pPr>
        <w:widowControl/>
        <w:spacing w:line="440" w:lineRule="exact"/>
        <w:ind w:firstLine="420" w:firstLineChars="200"/>
        <w:rPr>
          <w:color w:val="000000"/>
          <w:sz w:val="24"/>
        </w:rPr>
      </w:pPr>
      <w:r>
        <w:drawing>
          <wp:anchor distT="0" distB="0" distL="114300" distR="114300" simplePos="0" relativeHeight="251658240" behindDoc="0" locked="0" layoutInCell="1" allowOverlap="1">
            <wp:simplePos x="0" y="0"/>
            <wp:positionH relativeFrom="column">
              <wp:posOffset>184785</wp:posOffset>
            </wp:positionH>
            <wp:positionV relativeFrom="paragraph">
              <wp:posOffset>76835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15">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Pr>
          <w:color w:val="000000"/>
          <w:sz w:val="24"/>
        </w:rPr>
        <w:t>本标准与相关法律、法规、规章和强制性标准无抵触，重视与相关标准的协调。</w:t>
      </w:r>
    </w:p>
    <w:p>
      <w:pPr>
        <w:pStyle w:val="11"/>
        <w:spacing w:before="156" w:beforeLines="50" w:after="156" w:afterLines="50" w:line="440" w:lineRule="exact"/>
        <w:ind w:firstLine="0"/>
        <w:outlineLvl w:val="0"/>
        <w:rPr>
          <w:rFonts w:ascii="Times New Roman" w:eastAsia="宋体"/>
          <w:b/>
          <w:kern w:val="0"/>
          <w:sz w:val="24"/>
          <w:szCs w:val="24"/>
        </w:rPr>
      </w:pPr>
      <w:bookmarkStart w:id="19" w:name="_Toc23770176"/>
      <w:r>
        <w:rPr>
          <w:rFonts w:hint="eastAsia" w:ascii="Times New Roman" w:eastAsia="宋体"/>
          <w:b/>
          <w:kern w:val="0"/>
          <w:sz w:val="24"/>
          <w:szCs w:val="24"/>
        </w:rPr>
        <w:t>八、</w:t>
      </w:r>
      <w:r>
        <w:rPr>
          <w:rFonts w:ascii="Times New Roman" w:eastAsia="宋体"/>
          <w:b/>
          <w:kern w:val="0"/>
          <w:sz w:val="24"/>
          <w:szCs w:val="24"/>
        </w:rPr>
        <w:t xml:space="preserve"> 重大分歧意见的处理经过和依据</w:t>
      </w:r>
      <w:bookmarkEnd w:id="19"/>
    </w:p>
    <w:p>
      <w:pPr>
        <w:widowControl/>
        <w:spacing w:line="440" w:lineRule="exact"/>
        <w:ind w:firstLine="480" w:firstLineChars="200"/>
        <w:rPr>
          <w:color w:val="000000"/>
          <w:sz w:val="24"/>
        </w:rPr>
      </w:pPr>
      <w:r>
        <w:rPr>
          <w:rFonts w:hint="eastAsia"/>
          <w:color w:val="000000"/>
          <w:sz w:val="24"/>
        </w:rPr>
        <w:t>无。</w:t>
      </w:r>
    </w:p>
    <w:p>
      <w:pPr>
        <w:pStyle w:val="11"/>
        <w:spacing w:before="156" w:beforeLines="50" w:after="156" w:afterLines="50" w:line="440" w:lineRule="exact"/>
        <w:ind w:firstLine="0"/>
        <w:outlineLvl w:val="0"/>
        <w:rPr>
          <w:rFonts w:ascii="Times New Roman" w:eastAsia="宋体"/>
          <w:b/>
          <w:kern w:val="0"/>
          <w:sz w:val="24"/>
          <w:szCs w:val="24"/>
        </w:rPr>
      </w:pPr>
      <w:bookmarkStart w:id="20" w:name="_Toc23770177"/>
      <w:r>
        <w:rPr>
          <w:rFonts w:hint="eastAsia" w:ascii="Times New Roman" w:eastAsia="宋体"/>
          <w:b/>
          <w:kern w:val="0"/>
          <w:sz w:val="24"/>
          <w:szCs w:val="24"/>
        </w:rPr>
        <w:t>九、</w:t>
      </w:r>
      <w:r>
        <w:rPr>
          <w:rFonts w:ascii="Times New Roman" w:eastAsia="宋体"/>
          <w:b/>
          <w:kern w:val="0"/>
          <w:sz w:val="24"/>
          <w:szCs w:val="24"/>
        </w:rPr>
        <w:t xml:space="preserve"> 标准性质的建议说明</w:t>
      </w:r>
      <w:bookmarkEnd w:id="20"/>
    </w:p>
    <w:p>
      <w:pPr>
        <w:autoSpaceDE w:val="0"/>
        <w:autoSpaceDN w:val="0"/>
        <w:adjustRightInd w:val="0"/>
        <w:spacing w:after="156" w:afterLines="50" w:line="440" w:lineRule="exact"/>
        <w:ind w:firstLine="480" w:firstLineChars="200"/>
        <w:jc w:val="left"/>
        <w:rPr>
          <w:color w:val="000000"/>
          <w:sz w:val="24"/>
        </w:rPr>
      </w:pPr>
      <w:r>
        <w:rPr>
          <w:color w:val="000000"/>
          <w:sz w:val="24"/>
        </w:rPr>
        <w:t>本标准建议为推荐性</w:t>
      </w:r>
      <w:r>
        <w:rPr>
          <w:rFonts w:hint="eastAsia"/>
          <w:color w:val="000000"/>
          <w:sz w:val="24"/>
        </w:rPr>
        <w:t>行业</w:t>
      </w:r>
      <w:r>
        <w:rPr>
          <w:color w:val="000000"/>
          <w:sz w:val="24"/>
        </w:rPr>
        <w:t>标准</w:t>
      </w:r>
      <w:r>
        <w:rPr>
          <w:rFonts w:hint="eastAsia"/>
          <w:kern w:val="0"/>
          <w:sz w:val="24"/>
        </w:rPr>
        <w:t>。</w:t>
      </w:r>
    </w:p>
    <w:p>
      <w:pPr>
        <w:pStyle w:val="11"/>
        <w:spacing w:before="156" w:beforeLines="50" w:after="156" w:afterLines="50" w:line="440" w:lineRule="exact"/>
        <w:ind w:firstLine="0"/>
        <w:outlineLvl w:val="0"/>
        <w:rPr>
          <w:rFonts w:ascii="Times New Roman" w:eastAsia="宋体"/>
          <w:b/>
          <w:kern w:val="0"/>
          <w:sz w:val="24"/>
          <w:szCs w:val="24"/>
        </w:rPr>
      </w:pPr>
      <w:bookmarkStart w:id="21" w:name="_Toc23770178"/>
      <w:r>
        <w:rPr>
          <w:rFonts w:hint="eastAsia" w:ascii="Times New Roman" w:eastAsia="宋体"/>
          <w:b/>
          <w:kern w:val="0"/>
          <w:sz w:val="24"/>
          <w:szCs w:val="24"/>
        </w:rPr>
        <w:t>十、</w:t>
      </w:r>
      <w:r>
        <w:rPr>
          <w:rFonts w:ascii="Times New Roman" w:eastAsia="宋体"/>
          <w:b/>
          <w:kern w:val="0"/>
          <w:sz w:val="24"/>
          <w:szCs w:val="24"/>
        </w:rPr>
        <w:t xml:space="preserve"> 贯彻标准的要求和措施建议</w:t>
      </w:r>
      <w:bookmarkEnd w:id="21"/>
    </w:p>
    <w:p>
      <w:pPr>
        <w:widowControl/>
        <w:spacing w:line="440" w:lineRule="exact"/>
        <w:ind w:firstLine="480" w:firstLineChars="200"/>
        <w:rPr>
          <w:color w:val="000000"/>
          <w:sz w:val="24"/>
        </w:rPr>
      </w:pPr>
      <w:r>
        <w:rPr>
          <w:sz w:val="24"/>
        </w:rPr>
        <w:t>由中国轻工业联合会和中国塑</w:t>
      </w:r>
      <w:r>
        <w:rPr>
          <w:rFonts w:hint="eastAsia"/>
          <w:sz w:val="24"/>
        </w:rPr>
        <w:t>料加工工业协会</w:t>
      </w:r>
      <w:r>
        <w:rPr>
          <w:sz w:val="24"/>
        </w:rPr>
        <w:t>人造革与合成革专业委员会共同组织宣贯实施，企业可按照行业标准的规定和要求对企业内部标准进行修订，或根据行业标准实施时间要求拟订企标整改过渡措施。</w:t>
      </w:r>
    </w:p>
    <w:p>
      <w:pPr>
        <w:pStyle w:val="11"/>
        <w:spacing w:before="156" w:beforeLines="50" w:after="156" w:afterLines="50" w:line="440" w:lineRule="exact"/>
        <w:ind w:firstLine="0"/>
        <w:outlineLvl w:val="0"/>
        <w:rPr>
          <w:rFonts w:ascii="Times New Roman" w:eastAsia="宋体"/>
          <w:b/>
          <w:kern w:val="0"/>
          <w:sz w:val="24"/>
          <w:szCs w:val="24"/>
        </w:rPr>
      </w:pPr>
      <w:bookmarkStart w:id="22" w:name="_Toc23770179"/>
      <w:r>
        <w:rPr>
          <w:rFonts w:hint="eastAsia" w:ascii="Times New Roman" w:eastAsia="宋体"/>
          <w:b/>
          <w:kern w:val="0"/>
          <w:sz w:val="24"/>
          <w:szCs w:val="24"/>
        </w:rPr>
        <w:t>十一、</w:t>
      </w:r>
      <w:r>
        <w:rPr>
          <w:rFonts w:ascii="Times New Roman" w:eastAsia="宋体"/>
          <w:b/>
          <w:kern w:val="0"/>
          <w:sz w:val="24"/>
          <w:szCs w:val="24"/>
        </w:rPr>
        <w:t xml:space="preserve"> </w:t>
      </w:r>
      <w:r>
        <w:rPr>
          <w:rFonts w:hint="eastAsia" w:ascii="Times New Roman" w:eastAsia="宋体"/>
          <w:b/>
          <w:kern w:val="0"/>
          <w:sz w:val="24"/>
          <w:szCs w:val="24"/>
        </w:rPr>
        <w:t>废止现行相关标准的建议</w:t>
      </w:r>
      <w:bookmarkEnd w:id="22"/>
    </w:p>
    <w:p>
      <w:pPr>
        <w:widowControl/>
        <w:spacing w:line="440" w:lineRule="exact"/>
        <w:ind w:firstLine="480" w:firstLineChars="200"/>
        <w:rPr>
          <w:color w:val="000000"/>
          <w:sz w:val="24"/>
        </w:rPr>
      </w:pPr>
      <w:r>
        <w:rPr>
          <w:rFonts w:hint="eastAsia"/>
          <w:color w:val="000000"/>
          <w:sz w:val="24"/>
        </w:rPr>
        <w:t>无。</w:t>
      </w:r>
    </w:p>
    <w:p>
      <w:pPr>
        <w:pStyle w:val="11"/>
        <w:spacing w:before="156" w:beforeLines="50" w:after="156" w:afterLines="50" w:line="440" w:lineRule="exact"/>
        <w:ind w:firstLine="0"/>
        <w:outlineLvl w:val="0"/>
        <w:rPr>
          <w:rFonts w:ascii="Times New Roman" w:eastAsia="宋体"/>
          <w:b/>
          <w:kern w:val="0"/>
          <w:sz w:val="24"/>
          <w:szCs w:val="24"/>
        </w:rPr>
      </w:pPr>
      <w:bookmarkStart w:id="23" w:name="_Toc23770180"/>
      <w:r>
        <w:rPr>
          <w:rFonts w:hint="eastAsia" w:ascii="Times New Roman" w:eastAsia="宋体"/>
          <w:b/>
          <w:kern w:val="0"/>
          <w:sz w:val="24"/>
          <w:szCs w:val="24"/>
        </w:rPr>
        <w:t>十二、</w:t>
      </w:r>
      <w:r>
        <w:rPr>
          <w:rFonts w:ascii="Times New Roman" w:eastAsia="宋体"/>
          <w:b/>
          <w:kern w:val="0"/>
          <w:sz w:val="24"/>
          <w:szCs w:val="24"/>
        </w:rPr>
        <w:t xml:space="preserve"> </w:t>
      </w:r>
      <w:r>
        <w:rPr>
          <w:rFonts w:hint="eastAsia" w:ascii="Times New Roman" w:eastAsia="宋体"/>
          <w:b/>
          <w:kern w:val="0"/>
          <w:sz w:val="24"/>
          <w:szCs w:val="24"/>
        </w:rPr>
        <w:t>其他应予说明的事项</w:t>
      </w:r>
      <w:bookmarkEnd w:id="23"/>
    </w:p>
    <w:p>
      <w:pPr>
        <w:widowControl/>
        <w:spacing w:line="440" w:lineRule="exact"/>
        <w:ind w:firstLine="480" w:firstLineChars="200"/>
        <w:rPr>
          <w:color w:val="000000"/>
          <w:sz w:val="24"/>
        </w:rPr>
      </w:pPr>
      <w:r>
        <w:rPr>
          <w:rFonts w:hint="eastAsia"/>
          <w:color w:val="000000"/>
          <w:sz w:val="24"/>
        </w:rPr>
        <w:t>无。</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865159"/>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271"/>
    <w:multiLevelType w:val="multilevel"/>
    <w:tmpl w:val="01BC327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1CC7241C"/>
    <w:multiLevelType w:val="multilevel"/>
    <w:tmpl w:val="1CC7241C"/>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lvlText w:val="（%2）"/>
      <w:lvlJc w:val="left"/>
      <w:pPr>
        <w:ind w:left="284" w:firstLine="0"/>
      </w:pPr>
      <w:rPr>
        <w:rFonts w:hint="eastAsia"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lvlText w:val="（%3）"/>
      <w:lvlJc w:val="left"/>
      <w:pPr>
        <w:ind w:left="426"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F301BC6"/>
    <w:multiLevelType w:val="multilevel"/>
    <w:tmpl w:val="4F301BC6"/>
    <w:lvl w:ilvl="0" w:tentative="0">
      <w:start w:val="1"/>
      <w:numFmt w:val="lowerRoman"/>
      <w:lvlText w:val="%1."/>
      <w:lvlJc w:val="righ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3FD1F98"/>
    <w:multiLevelType w:val="singleLevel"/>
    <w:tmpl w:val="63FD1F98"/>
    <w:lvl w:ilvl="0" w:tentative="0">
      <w:start w:val="2"/>
      <w:numFmt w:val="decimal"/>
      <w:suff w:val="nothing"/>
      <w:lvlText w:val="（%1）"/>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0E"/>
    <w:rsid w:val="0000141E"/>
    <w:rsid w:val="00007488"/>
    <w:rsid w:val="00010ED8"/>
    <w:rsid w:val="00011B3A"/>
    <w:rsid w:val="000248D9"/>
    <w:rsid w:val="00030B31"/>
    <w:rsid w:val="0003491B"/>
    <w:rsid w:val="0004048D"/>
    <w:rsid w:val="00043328"/>
    <w:rsid w:val="00056CB9"/>
    <w:rsid w:val="00060E39"/>
    <w:rsid w:val="000729A7"/>
    <w:rsid w:val="000741C6"/>
    <w:rsid w:val="0007456E"/>
    <w:rsid w:val="00077DE8"/>
    <w:rsid w:val="00082692"/>
    <w:rsid w:val="000847B1"/>
    <w:rsid w:val="0008549F"/>
    <w:rsid w:val="00092F44"/>
    <w:rsid w:val="00096A76"/>
    <w:rsid w:val="000A7F2D"/>
    <w:rsid w:val="000C4E42"/>
    <w:rsid w:val="000D6AF4"/>
    <w:rsid w:val="000E0601"/>
    <w:rsid w:val="000F135C"/>
    <w:rsid w:val="000F7089"/>
    <w:rsid w:val="001073BC"/>
    <w:rsid w:val="001165E4"/>
    <w:rsid w:val="00120601"/>
    <w:rsid w:val="0012386C"/>
    <w:rsid w:val="0012492D"/>
    <w:rsid w:val="00126BFD"/>
    <w:rsid w:val="00133064"/>
    <w:rsid w:val="00146417"/>
    <w:rsid w:val="001671B6"/>
    <w:rsid w:val="0017706D"/>
    <w:rsid w:val="001817CC"/>
    <w:rsid w:val="0018757C"/>
    <w:rsid w:val="0019165A"/>
    <w:rsid w:val="00192FE7"/>
    <w:rsid w:val="00196C4D"/>
    <w:rsid w:val="001A0CF7"/>
    <w:rsid w:val="001A4C4D"/>
    <w:rsid w:val="001A5F0C"/>
    <w:rsid w:val="001A6C0D"/>
    <w:rsid w:val="001B4F9E"/>
    <w:rsid w:val="001C13F3"/>
    <w:rsid w:val="001C7910"/>
    <w:rsid w:val="001D7A40"/>
    <w:rsid w:val="001F0C24"/>
    <w:rsid w:val="001F656A"/>
    <w:rsid w:val="001F7BDF"/>
    <w:rsid w:val="002012E8"/>
    <w:rsid w:val="00210B24"/>
    <w:rsid w:val="0021214E"/>
    <w:rsid w:val="00212D28"/>
    <w:rsid w:val="00217539"/>
    <w:rsid w:val="00232391"/>
    <w:rsid w:val="002353E9"/>
    <w:rsid w:val="002416F9"/>
    <w:rsid w:val="002438BF"/>
    <w:rsid w:val="00244F69"/>
    <w:rsid w:val="00245D22"/>
    <w:rsid w:val="00261FC7"/>
    <w:rsid w:val="0026436B"/>
    <w:rsid w:val="00264881"/>
    <w:rsid w:val="00265247"/>
    <w:rsid w:val="00285C6D"/>
    <w:rsid w:val="00287846"/>
    <w:rsid w:val="0029487D"/>
    <w:rsid w:val="002A3C2E"/>
    <w:rsid w:val="002A4DF3"/>
    <w:rsid w:val="002B01D4"/>
    <w:rsid w:val="002D742B"/>
    <w:rsid w:val="002E1062"/>
    <w:rsid w:val="002E1E38"/>
    <w:rsid w:val="002E7C30"/>
    <w:rsid w:val="002F15F6"/>
    <w:rsid w:val="003014FA"/>
    <w:rsid w:val="00327BC6"/>
    <w:rsid w:val="00333F80"/>
    <w:rsid w:val="00336678"/>
    <w:rsid w:val="00345CF7"/>
    <w:rsid w:val="003473EB"/>
    <w:rsid w:val="00360129"/>
    <w:rsid w:val="00364AB3"/>
    <w:rsid w:val="00366142"/>
    <w:rsid w:val="00377295"/>
    <w:rsid w:val="00383721"/>
    <w:rsid w:val="00384BBD"/>
    <w:rsid w:val="003851CF"/>
    <w:rsid w:val="003A511C"/>
    <w:rsid w:val="003B440F"/>
    <w:rsid w:val="003B4785"/>
    <w:rsid w:val="003C6BB2"/>
    <w:rsid w:val="003D083B"/>
    <w:rsid w:val="003D1C44"/>
    <w:rsid w:val="003E25E4"/>
    <w:rsid w:val="003E34BC"/>
    <w:rsid w:val="003E64BC"/>
    <w:rsid w:val="003F51DA"/>
    <w:rsid w:val="004012A3"/>
    <w:rsid w:val="0040171B"/>
    <w:rsid w:val="004144E7"/>
    <w:rsid w:val="004165DD"/>
    <w:rsid w:val="004169CE"/>
    <w:rsid w:val="00417B1E"/>
    <w:rsid w:val="00423C24"/>
    <w:rsid w:val="0042779A"/>
    <w:rsid w:val="004325A3"/>
    <w:rsid w:val="00451445"/>
    <w:rsid w:val="00454B2C"/>
    <w:rsid w:val="00454FFB"/>
    <w:rsid w:val="00457843"/>
    <w:rsid w:val="0046775D"/>
    <w:rsid w:val="0047663A"/>
    <w:rsid w:val="0049017C"/>
    <w:rsid w:val="004A53DF"/>
    <w:rsid w:val="004B253C"/>
    <w:rsid w:val="004B3041"/>
    <w:rsid w:val="004B7235"/>
    <w:rsid w:val="004C6440"/>
    <w:rsid w:val="004C72E3"/>
    <w:rsid w:val="004D173C"/>
    <w:rsid w:val="004D17C2"/>
    <w:rsid w:val="004E0312"/>
    <w:rsid w:val="004E3903"/>
    <w:rsid w:val="004E5A32"/>
    <w:rsid w:val="004E725E"/>
    <w:rsid w:val="004F3D88"/>
    <w:rsid w:val="004F5636"/>
    <w:rsid w:val="004F6266"/>
    <w:rsid w:val="00506D70"/>
    <w:rsid w:val="00507B64"/>
    <w:rsid w:val="00510B25"/>
    <w:rsid w:val="00513FDA"/>
    <w:rsid w:val="0051526D"/>
    <w:rsid w:val="0051568C"/>
    <w:rsid w:val="0051594F"/>
    <w:rsid w:val="005250CE"/>
    <w:rsid w:val="00527295"/>
    <w:rsid w:val="005336C6"/>
    <w:rsid w:val="005348F7"/>
    <w:rsid w:val="00540E33"/>
    <w:rsid w:val="00544BCB"/>
    <w:rsid w:val="00554DBC"/>
    <w:rsid w:val="00562BB2"/>
    <w:rsid w:val="00586CC4"/>
    <w:rsid w:val="00594D4F"/>
    <w:rsid w:val="00594E96"/>
    <w:rsid w:val="005A098D"/>
    <w:rsid w:val="005A2EF6"/>
    <w:rsid w:val="005A4972"/>
    <w:rsid w:val="005B7FAE"/>
    <w:rsid w:val="005C225C"/>
    <w:rsid w:val="005D0284"/>
    <w:rsid w:val="005D57C7"/>
    <w:rsid w:val="005D7C30"/>
    <w:rsid w:val="005E3D55"/>
    <w:rsid w:val="005F5FDB"/>
    <w:rsid w:val="005F7C6B"/>
    <w:rsid w:val="006156B8"/>
    <w:rsid w:val="006218AD"/>
    <w:rsid w:val="00623EEF"/>
    <w:rsid w:val="00632231"/>
    <w:rsid w:val="006379E7"/>
    <w:rsid w:val="0064593F"/>
    <w:rsid w:val="006463B4"/>
    <w:rsid w:val="006526A1"/>
    <w:rsid w:val="00656750"/>
    <w:rsid w:val="00667EEB"/>
    <w:rsid w:val="0067526A"/>
    <w:rsid w:val="00677210"/>
    <w:rsid w:val="006801AD"/>
    <w:rsid w:val="0068105F"/>
    <w:rsid w:val="006814AA"/>
    <w:rsid w:val="00690635"/>
    <w:rsid w:val="006914D5"/>
    <w:rsid w:val="00697B24"/>
    <w:rsid w:val="006A5257"/>
    <w:rsid w:val="006A6CC5"/>
    <w:rsid w:val="006A7230"/>
    <w:rsid w:val="006B3845"/>
    <w:rsid w:val="006B4046"/>
    <w:rsid w:val="006C4DA4"/>
    <w:rsid w:val="006C51B1"/>
    <w:rsid w:val="006C6748"/>
    <w:rsid w:val="006D0E6C"/>
    <w:rsid w:val="006D2713"/>
    <w:rsid w:val="006E4181"/>
    <w:rsid w:val="006E6EE2"/>
    <w:rsid w:val="007077B6"/>
    <w:rsid w:val="00710091"/>
    <w:rsid w:val="0071141E"/>
    <w:rsid w:val="007212A8"/>
    <w:rsid w:val="007239D1"/>
    <w:rsid w:val="00742A92"/>
    <w:rsid w:val="00752FD2"/>
    <w:rsid w:val="00754C99"/>
    <w:rsid w:val="007569C2"/>
    <w:rsid w:val="0078024A"/>
    <w:rsid w:val="00780A01"/>
    <w:rsid w:val="00785004"/>
    <w:rsid w:val="0079228C"/>
    <w:rsid w:val="007954E7"/>
    <w:rsid w:val="007A1C9A"/>
    <w:rsid w:val="007A2E0C"/>
    <w:rsid w:val="007B0C88"/>
    <w:rsid w:val="007B4794"/>
    <w:rsid w:val="007F4442"/>
    <w:rsid w:val="00801911"/>
    <w:rsid w:val="00812DA9"/>
    <w:rsid w:val="00815E94"/>
    <w:rsid w:val="0082084C"/>
    <w:rsid w:val="008225D5"/>
    <w:rsid w:val="00823B8E"/>
    <w:rsid w:val="00824973"/>
    <w:rsid w:val="0082525E"/>
    <w:rsid w:val="00830EF1"/>
    <w:rsid w:val="00841FA2"/>
    <w:rsid w:val="00847318"/>
    <w:rsid w:val="00855CF1"/>
    <w:rsid w:val="00860EC1"/>
    <w:rsid w:val="008615B2"/>
    <w:rsid w:val="008671C8"/>
    <w:rsid w:val="00873527"/>
    <w:rsid w:val="00887468"/>
    <w:rsid w:val="008957C8"/>
    <w:rsid w:val="008A7505"/>
    <w:rsid w:val="008A7518"/>
    <w:rsid w:val="008D1690"/>
    <w:rsid w:val="008D3CDB"/>
    <w:rsid w:val="008E1156"/>
    <w:rsid w:val="008E5F7A"/>
    <w:rsid w:val="0091418A"/>
    <w:rsid w:val="009334DE"/>
    <w:rsid w:val="00940DAE"/>
    <w:rsid w:val="00941ACF"/>
    <w:rsid w:val="00960FCE"/>
    <w:rsid w:val="00966D27"/>
    <w:rsid w:val="00975675"/>
    <w:rsid w:val="0098398D"/>
    <w:rsid w:val="00987F6A"/>
    <w:rsid w:val="0099748A"/>
    <w:rsid w:val="009A36B5"/>
    <w:rsid w:val="009A7066"/>
    <w:rsid w:val="009A76D0"/>
    <w:rsid w:val="009B011E"/>
    <w:rsid w:val="009C6899"/>
    <w:rsid w:val="009C7060"/>
    <w:rsid w:val="009C7AAC"/>
    <w:rsid w:val="009F1DA6"/>
    <w:rsid w:val="009F2E7C"/>
    <w:rsid w:val="00A05E67"/>
    <w:rsid w:val="00A06023"/>
    <w:rsid w:val="00A07F22"/>
    <w:rsid w:val="00A13A98"/>
    <w:rsid w:val="00A20586"/>
    <w:rsid w:val="00A2189A"/>
    <w:rsid w:val="00A23DDD"/>
    <w:rsid w:val="00A276EA"/>
    <w:rsid w:val="00A370D9"/>
    <w:rsid w:val="00A40823"/>
    <w:rsid w:val="00A41D4E"/>
    <w:rsid w:val="00A47871"/>
    <w:rsid w:val="00A60839"/>
    <w:rsid w:val="00A60B00"/>
    <w:rsid w:val="00A645EE"/>
    <w:rsid w:val="00A73EC3"/>
    <w:rsid w:val="00A93129"/>
    <w:rsid w:val="00A97959"/>
    <w:rsid w:val="00AA3521"/>
    <w:rsid w:val="00AC030E"/>
    <w:rsid w:val="00AC5E29"/>
    <w:rsid w:val="00AC6BC4"/>
    <w:rsid w:val="00AE409B"/>
    <w:rsid w:val="00AE4373"/>
    <w:rsid w:val="00AF152D"/>
    <w:rsid w:val="00AF7403"/>
    <w:rsid w:val="00AF78B0"/>
    <w:rsid w:val="00B14D94"/>
    <w:rsid w:val="00B26FA3"/>
    <w:rsid w:val="00B30445"/>
    <w:rsid w:val="00B3384D"/>
    <w:rsid w:val="00B3718B"/>
    <w:rsid w:val="00B40D9F"/>
    <w:rsid w:val="00B5509D"/>
    <w:rsid w:val="00B55189"/>
    <w:rsid w:val="00B63A23"/>
    <w:rsid w:val="00B758DA"/>
    <w:rsid w:val="00B770DB"/>
    <w:rsid w:val="00B82F07"/>
    <w:rsid w:val="00B83B02"/>
    <w:rsid w:val="00B872B5"/>
    <w:rsid w:val="00B9103C"/>
    <w:rsid w:val="00B977FD"/>
    <w:rsid w:val="00BA03FF"/>
    <w:rsid w:val="00BA2425"/>
    <w:rsid w:val="00BA2652"/>
    <w:rsid w:val="00BA59AA"/>
    <w:rsid w:val="00BA7793"/>
    <w:rsid w:val="00BC35E8"/>
    <w:rsid w:val="00BC6F1E"/>
    <w:rsid w:val="00BD0A93"/>
    <w:rsid w:val="00BD7F00"/>
    <w:rsid w:val="00BE277E"/>
    <w:rsid w:val="00BE3978"/>
    <w:rsid w:val="00BE64BF"/>
    <w:rsid w:val="00C31317"/>
    <w:rsid w:val="00C35374"/>
    <w:rsid w:val="00C41C4C"/>
    <w:rsid w:val="00C5144E"/>
    <w:rsid w:val="00C53427"/>
    <w:rsid w:val="00C551AB"/>
    <w:rsid w:val="00C60019"/>
    <w:rsid w:val="00C60B7B"/>
    <w:rsid w:val="00C60E44"/>
    <w:rsid w:val="00C66ADB"/>
    <w:rsid w:val="00C720F0"/>
    <w:rsid w:val="00C857E4"/>
    <w:rsid w:val="00C867BB"/>
    <w:rsid w:val="00C94CD0"/>
    <w:rsid w:val="00CA5E23"/>
    <w:rsid w:val="00CB1FCB"/>
    <w:rsid w:val="00CC3600"/>
    <w:rsid w:val="00CD6B18"/>
    <w:rsid w:val="00CF1C39"/>
    <w:rsid w:val="00CF3E2B"/>
    <w:rsid w:val="00D10C04"/>
    <w:rsid w:val="00D17BBC"/>
    <w:rsid w:val="00D25955"/>
    <w:rsid w:val="00D318FF"/>
    <w:rsid w:val="00D47C0B"/>
    <w:rsid w:val="00D62912"/>
    <w:rsid w:val="00D711DF"/>
    <w:rsid w:val="00D715C6"/>
    <w:rsid w:val="00D768D2"/>
    <w:rsid w:val="00D87084"/>
    <w:rsid w:val="00D933CF"/>
    <w:rsid w:val="00D96EA3"/>
    <w:rsid w:val="00DB6C9B"/>
    <w:rsid w:val="00DC04C3"/>
    <w:rsid w:val="00DC059C"/>
    <w:rsid w:val="00DC1B12"/>
    <w:rsid w:val="00DD4245"/>
    <w:rsid w:val="00DE32CE"/>
    <w:rsid w:val="00DF0A88"/>
    <w:rsid w:val="00E04663"/>
    <w:rsid w:val="00E239E5"/>
    <w:rsid w:val="00E23BDE"/>
    <w:rsid w:val="00E26DF1"/>
    <w:rsid w:val="00E36CDB"/>
    <w:rsid w:val="00E37898"/>
    <w:rsid w:val="00E40020"/>
    <w:rsid w:val="00E416CD"/>
    <w:rsid w:val="00E43409"/>
    <w:rsid w:val="00E453FC"/>
    <w:rsid w:val="00E5402C"/>
    <w:rsid w:val="00E63C14"/>
    <w:rsid w:val="00E736D6"/>
    <w:rsid w:val="00E85878"/>
    <w:rsid w:val="00E95E9C"/>
    <w:rsid w:val="00EA09D1"/>
    <w:rsid w:val="00EA24E8"/>
    <w:rsid w:val="00EA5218"/>
    <w:rsid w:val="00EB2B97"/>
    <w:rsid w:val="00EC1F61"/>
    <w:rsid w:val="00EC6CC7"/>
    <w:rsid w:val="00ED0A97"/>
    <w:rsid w:val="00ED33C8"/>
    <w:rsid w:val="00ED3CD0"/>
    <w:rsid w:val="00EE260B"/>
    <w:rsid w:val="00EE6CD5"/>
    <w:rsid w:val="00EF7271"/>
    <w:rsid w:val="00EF7A07"/>
    <w:rsid w:val="00F04670"/>
    <w:rsid w:val="00F1167F"/>
    <w:rsid w:val="00F1305F"/>
    <w:rsid w:val="00F243C6"/>
    <w:rsid w:val="00F27E23"/>
    <w:rsid w:val="00F372B9"/>
    <w:rsid w:val="00F44545"/>
    <w:rsid w:val="00F50469"/>
    <w:rsid w:val="00F61459"/>
    <w:rsid w:val="00F70AFD"/>
    <w:rsid w:val="00F820B7"/>
    <w:rsid w:val="00F86419"/>
    <w:rsid w:val="00F964F3"/>
    <w:rsid w:val="00FA2769"/>
    <w:rsid w:val="00FB27B3"/>
    <w:rsid w:val="00FB2BE8"/>
    <w:rsid w:val="00FB65A2"/>
    <w:rsid w:val="00FD4616"/>
    <w:rsid w:val="00FD5046"/>
    <w:rsid w:val="00FE02A3"/>
    <w:rsid w:val="00FE32E4"/>
    <w:rsid w:val="00FE5389"/>
    <w:rsid w:val="00FE59E5"/>
    <w:rsid w:val="00FF012A"/>
    <w:rsid w:val="00FF322F"/>
    <w:rsid w:val="168D648B"/>
    <w:rsid w:val="34621989"/>
    <w:rsid w:val="356674A8"/>
    <w:rsid w:val="3A423C1E"/>
    <w:rsid w:val="3DC47D6E"/>
    <w:rsid w:val="4A020F8D"/>
    <w:rsid w:val="66D5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6"/>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3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38"/>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44"/>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qFormat/>
    <w:uiPriority w:val="0"/>
    <w:pPr>
      <w:ind w:firstLine="570"/>
    </w:pPr>
    <w:rPr>
      <w:rFonts w:ascii="仿宋_GB2312" w:eastAsia="仿宋_GB2312"/>
      <w:sz w:val="28"/>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3"/>
    <w:basedOn w:val="1"/>
    <w:next w:val="1"/>
    <w:qFormat/>
    <w:uiPriority w:val="39"/>
    <w:pPr>
      <w:ind w:left="840" w:leftChars="400"/>
    </w:p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qFormat/>
    <w:uiPriority w:val="0"/>
    <w:pPr>
      <w:ind w:left="100" w:leftChars="2500"/>
    </w:pPr>
  </w:style>
  <w:style w:type="paragraph" w:styleId="16">
    <w:name w:val="Balloon Text"/>
    <w:basedOn w:val="1"/>
    <w:link w:val="141"/>
    <w:qFormat/>
    <w:uiPriority w:val="0"/>
    <w:rPr>
      <w:sz w:val="18"/>
      <w:szCs w:val="18"/>
    </w:rPr>
  </w:style>
  <w:style w:type="paragraph" w:styleId="17">
    <w:name w:val="footer"/>
    <w:basedOn w:val="1"/>
    <w:link w:val="36"/>
    <w:qFormat/>
    <w:uiPriority w:val="99"/>
    <w:pPr>
      <w:snapToGrid w:val="0"/>
      <w:ind w:right="210" w:rightChars="100"/>
      <w:jc w:val="right"/>
    </w:pPr>
    <w:rPr>
      <w:sz w:val="18"/>
      <w:szCs w:val="18"/>
    </w:rPr>
  </w:style>
  <w:style w:type="paragraph" w:styleId="18">
    <w:name w:val="header"/>
    <w:basedOn w:val="1"/>
    <w:link w:val="39"/>
    <w:qFormat/>
    <w:uiPriority w:val="0"/>
    <w:pPr>
      <w:snapToGrid w:val="0"/>
      <w:jc w:val="left"/>
    </w:pPr>
    <w:rPr>
      <w:sz w:val="18"/>
      <w:szCs w:val="18"/>
    </w:rPr>
  </w:style>
  <w:style w:type="paragraph" w:styleId="19">
    <w:name w:val="toc 1"/>
    <w:basedOn w:val="1"/>
    <w:next w:val="1"/>
    <w:qFormat/>
    <w:uiPriority w:val="39"/>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qFormat/>
    <w:uiPriority w:val="39"/>
    <w:pPr>
      <w:ind w:left="420" w:leftChars="200"/>
    </w:pPr>
  </w:style>
  <w:style w:type="paragraph" w:styleId="27">
    <w:name w:val="HTML Preformatted"/>
    <w:basedOn w:val="1"/>
    <w:qFormat/>
    <w:uiPriority w:val="0"/>
    <w:pPr>
      <w:tabs>
        <w:tab w:val="left" w:pos="360"/>
      </w:tabs>
    </w:pPr>
    <w:rPr>
      <w:rFonts w:ascii="Courier New" w:hAnsi="Courier New" w:cs="Courier New"/>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59"/>
    <w:pPr>
      <w:numPr>
        <w:numId w:val="1"/>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Times New Roman" w:hAnsi="Times New Roman" w:eastAsia="宋体"/>
      <w:sz w:val="18"/>
    </w:rPr>
  </w:style>
  <w:style w:type="character" w:styleId="34">
    <w:name w:val="Hyperlink"/>
    <w:qFormat/>
    <w:uiPriority w:val="99"/>
    <w:rPr>
      <w:color w:val="0000FF"/>
      <w:spacing w:val="0"/>
      <w:w w:val="100"/>
      <w:szCs w:val="21"/>
      <w:u w:val="single"/>
      <w:lang w:val="en-US" w:eastAsia="zh-CN"/>
    </w:rPr>
  </w:style>
  <w:style w:type="character" w:customStyle="1" w:styleId="35">
    <w:name w:val="已访问的超链接1"/>
    <w:qFormat/>
    <w:uiPriority w:val="0"/>
    <w:rPr>
      <w:color w:val="800080"/>
      <w:u w:val="single"/>
    </w:rPr>
  </w:style>
  <w:style w:type="character" w:customStyle="1" w:styleId="36">
    <w:name w:val="页脚 Char"/>
    <w:link w:val="17"/>
    <w:qFormat/>
    <w:uiPriority w:val="99"/>
    <w:rPr>
      <w:rFonts w:eastAsia="宋体"/>
      <w:kern w:val="2"/>
      <w:sz w:val="18"/>
      <w:szCs w:val="18"/>
      <w:lang w:val="en-US" w:eastAsia="zh-CN" w:bidi="ar-SA"/>
    </w:rPr>
  </w:style>
  <w:style w:type="character" w:customStyle="1" w:styleId="37">
    <w:name w:val="首示例 Char"/>
    <w:link w:val="38"/>
    <w:qFormat/>
    <w:uiPriority w:val="0"/>
    <w:rPr>
      <w:rFonts w:ascii="宋体" w:hAnsi="宋体"/>
      <w:kern w:val="2"/>
      <w:sz w:val="18"/>
      <w:szCs w:val="18"/>
    </w:rPr>
  </w:style>
  <w:style w:type="paragraph" w:customStyle="1" w:styleId="38">
    <w:name w:val="首示例"/>
    <w:next w:val="22"/>
    <w:link w:val="37"/>
    <w:qFormat/>
    <w:uiPriority w:val="0"/>
    <w:pPr>
      <w:tabs>
        <w:tab w:val="left" w:pos="360"/>
      </w:tabs>
    </w:pPr>
    <w:rPr>
      <w:rFonts w:ascii="宋体" w:hAnsi="宋体" w:eastAsia="宋体" w:cs="Times New Roman"/>
      <w:kern w:val="2"/>
      <w:sz w:val="18"/>
      <w:szCs w:val="18"/>
      <w:lang w:val="en-US" w:eastAsia="zh-CN" w:bidi="ar-SA"/>
    </w:rPr>
  </w:style>
  <w:style w:type="character" w:customStyle="1" w:styleId="39">
    <w:name w:val="页眉 Char"/>
    <w:link w:val="18"/>
    <w:qFormat/>
    <w:uiPriority w:val="0"/>
    <w:rPr>
      <w:kern w:val="2"/>
      <w:sz w:val="18"/>
      <w:szCs w:val="18"/>
    </w:rPr>
  </w:style>
  <w:style w:type="character" w:customStyle="1" w:styleId="40">
    <w:name w:val="发布"/>
    <w:qFormat/>
    <w:uiPriority w:val="0"/>
    <w:rPr>
      <w:rFonts w:ascii="黑体" w:eastAsia="黑体"/>
      <w:spacing w:val="85"/>
      <w:w w:val="100"/>
      <w:position w:val="3"/>
      <w:sz w:val="28"/>
      <w:szCs w:val="28"/>
    </w:rPr>
  </w:style>
  <w:style w:type="character" w:customStyle="1" w:styleId="41">
    <w:name w:val="段 Char"/>
    <w:link w:val="22"/>
    <w:qFormat/>
    <w:uiPriority w:val="0"/>
    <w:rPr>
      <w:rFonts w:ascii="宋体"/>
      <w:sz w:val="21"/>
      <w:lang w:val="en-US" w:eastAsia="zh-CN" w:bidi="ar-SA"/>
    </w:rPr>
  </w:style>
  <w:style w:type="character" w:customStyle="1" w:styleId="42">
    <w:name w:val="附录公式 Char"/>
    <w:basedOn w:val="41"/>
    <w:link w:val="43"/>
    <w:qFormat/>
    <w:uiPriority w:val="0"/>
    <w:rPr>
      <w:rFonts w:ascii="宋体"/>
      <w:sz w:val="21"/>
      <w:lang w:val="en-US" w:eastAsia="zh-CN" w:bidi="ar-SA"/>
    </w:rPr>
  </w:style>
  <w:style w:type="paragraph" w:customStyle="1" w:styleId="43">
    <w:name w:val="附录公式"/>
    <w:basedOn w:val="22"/>
    <w:next w:val="22"/>
    <w:link w:val="42"/>
    <w:qFormat/>
    <w:uiPriority w:val="0"/>
  </w:style>
  <w:style w:type="paragraph" w:customStyle="1" w:styleId="4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6">
    <w:name w:val="章标题"/>
    <w:next w:val="2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50">
    <w:name w:val="二级无"/>
    <w:basedOn w:val="51"/>
    <w:qFormat/>
    <w:uiPriority w:val="0"/>
    <w:pPr>
      <w:spacing w:before="0" w:beforeLines="0" w:after="0" w:afterLines="0"/>
      <w:ind w:left="0"/>
    </w:pPr>
    <w:rPr>
      <w:rFonts w:ascii="宋体" w:eastAsia="宋体"/>
    </w:rPr>
  </w:style>
  <w:style w:type="paragraph" w:customStyle="1" w:styleId="51">
    <w:name w:val="二级条标题"/>
    <w:basedOn w:val="52"/>
    <w:next w:val="22"/>
    <w:qFormat/>
    <w:uiPriority w:val="0"/>
    <w:pPr>
      <w:numPr>
        <w:ilvl w:val="0"/>
        <w:numId w:val="0"/>
      </w:numPr>
      <w:spacing w:before="50" w:after="50"/>
      <w:ind w:left="426"/>
      <w:outlineLvl w:val="3"/>
    </w:pPr>
  </w:style>
  <w:style w:type="paragraph" w:customStyle="1" w:styleId="52">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编号列项（三级）"/>
    <w:qFormat/>
    <w:uiPriority w:val="0"/>
    <w:rPr>
      <w:rFonts w:ascii="宋体" w:hAnsi="Times New Roman" w:eastAsia="宋体" w:cs="Times New Roman"/>
      <w:sz w:val="21"/>
      <w:lang w:val="en-US" w:eastAsia="zh-CN" w:bidi="ar-SA"/>
    </w:rPr>
  </w:style>
  <w:style w:type="paragraph" w:customStyle="1" w:styleId="54">
    <w:name w:val="条文脚注"/>
    <w:basedOn w:val="23"/>
    <w:qFormat/>
    <w:uiPriority w:val="0"/>
    <w:pPr>
      <w:ind w:left="0" w:firstLine="0"/>
      <w:jc w:val="both"/>
    </w:pPr>
  </w:style>
  <w:style w:type="paragraph" w:customStyle="1" w:styleId="55">
    <w:name w:val="附录标题"/>
    <w:basedOn w:val="22"/>
    <w:next w:val="22"/>
    <w:qFormat/>
    <w:uiPriority w:val="0"/>
    <w:pPr>
      <w:ind w:firstLine="0" w:firstLineChars="0"/>
      <w:jc w:val="center"/>
    </w:pPr>
    <w:rPr>
      <w:rFonts w:ascii="黑体" w:eastAsia="黑体"/>
    </w:rPr>
  </w:style>
  <w:style w:type="paragraph" w:customStyle="1" w:styleId="56">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正文公式编号制表符"/>
    <w:basedOn w:val="22"/>
    <w:next w:val="22"/>
    <w:qFormat/>
    <w:uiPriority w:val="0"/>
    <w:pPr>
      <w:ind w:firstLine="0" w:firstLineChars="0"/>
    </w:pPr>
  </w:style>
  <w:style w:type="paragraph" w:customStyle="1" w:styleId="58">
    <w:name w:val="附录四级条标题"/>
    <w:basedOn w:val="59"/>
    <w:next w:val="22"/>
    <w:qFormat/>
    <w:uiPriority w:val="0"/>
    <w:pPr>
      <w:tabs>
        <w:tab w:val="left" w:pos="360"/>
      </w:tabs>
      <w:outlineLvl w:val="5"/>
    </w:pPr>
  </w:style>
  <w:style w:type="paragraph" w:customStyle="1" w:styleId="59">
    <w:name w:val="附录三级条标题"/>
    <w:basedOn w:val="60"/>
    <w:next w:val="22"/>
    <w:qFormat/>
    <w:uiPriority w:val="0"/>
    <w:pPr>
      <w:tabs>
        <w:tab w:val="left" w:pos="360"/>
      </w:tabs>
      <w:outlineLvl w:val="4"/>
    </w:pPr>
  </w:style>
  <w:style w:type="paragraph" w:customStyle="1" w:styleId="60">
    <w:name w:val="附录二级条标题"/>
    <w:basedOn w:val="1"/>
    <w:next w:val="22"/>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1">
    <w:name w:val="三级无"/>
    <w:basedOn w:val="62"/>
    <w:qFormat/>
    <w:uiPriority w:val="0"/>
    <w:pPr>
      <w:spacing w:before="0" w:beforeLines="0" w:after="0" w:afterLines="0"/>
    </w:pPr>
    <w:rPr>
      <w:rFonts w:ascii="宋体" w:eastAsia="宋体"/>
    </w:rPr>
  </w:style>
  <w:style w:type="paragraph" w:customStyle="1" w:styleId="62">
    <w:name w:val="三级条标题"/>
    <w:basedOn w:val="51"/>
    <w:next w:val="22"/>
    <w:qFormat/>
    <w:uiPriority w:val="0"/>
    <w:pPr>
      <w:ind w:left="0"/>
      <w:outlineLvl w:val="4"/>
    </w:pPr>
  </w:style>
  <w:style w:type="paragraph" w:customStyle="1" w:styleId="63">
    <w:name w:val="封面一致性程度标识"/>
    <w:basedOn w:val="64"/>
    <w:qFormat/>
    <w:uiPriority w:val="0"/>
    <w:pPr>
      <w:spacing w:before="440"/>
    </w:pPr>
    <w:rPr>
      <w:rFonts w:ascii="宋体" w:eastAsia="宋体"/>
    </w:rPr>
  </w:style>
  <w:style w:type="paragraph" w:customStyle="1" w:styleId="64">
    <w:name w:val="封面标准英文名称"/>
    <w:basedOn w:val="65"/>
    <w:qFormat/>
    <w:uiPriority w:val="0"/>
    <w:pPr>
      <w:spacing w:before="370" w:line="400" w:lineRule="exact"/>
    </w:pPr>
    <w:rPr>
      <w:rFonts w:ascii="Times New Roman"/>
      <w:sz w:val="28"/>
      <w:szCs w:val="28"/>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示例×："/>
    <w:basedOn w:val="46"/>
    <w:qFormat/>
    <w:uiPriority w:val="0"/>
    <w:pPr>
      <w:spacing w:before="0" w:beforeLines="0" w:after="0" w:afterLines="0"/>
      <w:ind w:firstLine="363"/>
      <w:outlineLvl w:val="9"/>
    </w:pPr>
    <w:rPr>
      <w:rFonts w:ascii="宋体" w:eastAsia="宋体"/>
      <w:sz w:val="18"/>
      <w:szCs w:val="18"/>
    </w:rPr>
  </w:style>
  <w:style w:type="paragraph" w:customStyle="1" w:styleId="67">
    <w:name w:val="封面一致性程度标识2"/>
    <w:basedOn w:val="63"/>
    <w:qFormat/>
    <w:uiPriority w:val="0"/>
    <w:pPr>
      <w:framePr w:y="4469"/>
    </w:pPr>
  </w:style>
  <w:style w:type="paragraph" w:customStyle="1" w:styleId="68">
    <w:name w:val="附录五级无"/>
    <w:basedOn w:val="69"/>
    <w:qFormat/>
    <w:uiPriority w:val="0"/>
    <w:pPr>
      <w:tabs>
        <w:tab w:val="left" w:pos="360"/>
      </w:tabs>
      <w:spacing w:before="0" w:beforeLines="0" w:after="0" w:afterLines="0"/>
    </w:pPr>
    <w:rPr>
      <w:rFonts w:ascii="宋体" w:eastAsia="宋体"/>
      <w:szCs w:val="21"/>
    </w:rPr>
  </w:style>
  <w:style w:type="paragraph" w:customStyle="1" w:styleId="69">
    <w:name w:val="附录五级条标题"/>
    <w:basedOn w:val="58"/>
    <w:next w:val="22"/>
    <w:qFormat/>
    <w:uiPriority w:val="0"/>
    <w:pPr>
      <w:outlineLvl w:val="6"/>
    </w:pPr>
  </w:style>
  <w:style w:type="paragraph" w:customStyle="1" w:styleId="70">
    <w:name w:val="四级条标题"/>
    <w:basedOn w:val="62"/>
    <w:next w:val="22"/>
    <w:qFormat/>
    <w:uiPriority w:val="0"/>
    <w:pPr>
      <w:outlineLvl w:val="5"/>
    </w:pPr>
  </w:style>
  <w:style w:type="paragraph" w:customStyle="1" w:styleId="71">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2">
    <w:name w:val="附录四级无"/>
    <w:basedOn w:val="58"/>
    <w:qFormat/>
    <w:uiPriority w:val="0"/>
    <w:pPr>
      <w:tabs>
        <w:tab w:val="clear" w:pos="360"/>
      </w:tabs>
      <w:spacing w:before="0" w:beforeLines="0" w:after="0" w:afterLines="0"/>
    </w:pPr>
    <w:rPr>
      <w:rFonts w:ascii="宋体" w:eastAsia="宋体"/>
      <w:szCs w:val="21"/>
    </w:rPr>
  </w:style>
  <w:style w:type="paragraph" w:customStyle="1" w:styleId="7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4">
    <w:name w:val="其他发布部门"/>
    <w:basedOn w:val="75"/>
    <w:qFormat/>
    <w:uiPriority w:val="0"/>
    <w:pPr>
      <w:framePr w:y="15310"/>
      <w:spacing w:line="0" w:lineRule="atLeast"/>
    </w:pPr>
    <w:rPr>
      <w:rFonts w:ascii="黑体" w:eastAsia="黑体"/>
      <w:b w:val="0"/>
    </w:rPr>
  </w:style>
  <w:style w:type="paragraph" w:customStyle="1" w:styleId="75">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列项◆（三级）"/>
    <w:basedOn w:val="1"/>
    <w:qFormat/>
    <w:uiPriority w:val="0"/>
    <w:pPr>
      <w:tabs>
        <w:tab w:val="left" w:pos="1678"/>
      </w:tabs>
      <w:ind w:left="1678" w:hanging="414"/>
    </w:pPr>
    <w:rPr>
      <w:rFonts w:ascii="宋体"/>
      <w:szCs w:val="21"/>
    </w:rPr>
  </w:style>
  <w:style w:type="paragraph" w:customStyle="1" w:styleId="7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正文图标题"/>
    <w:next w:val="22"/>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1">
    <w:name w:val="附录章标题"/>
    <w:next w:val="22"/>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注：（正文）"/>
    <w:basedOn w:val="71"/>
    <w:next w:val="22"/>
    <w:qFormat/>
    <w:uiPriority w:val="0"/>
  </w:style>
  <w:style w:type="paragraph" w:customStyle="1" w:styleId="84">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附录一级无"/>
    <w:basedOn w:val="91"/>
    <w:qFormat/>
    <w:uiPriority w:val="0"/>
    <w:pPr>
      <w:tabs>
        <w:tab w:val="left" w:pos="360"/>
      </w:tabs>
      <w:spacing w:before="0" w:beforeLines="0" w:after="0" w:afterLines="0"/>
    </w:pPr>
    <w:rPr>
      <w:rFonts w:ascii="宋体" w:eastAsia="宋体"/>
      <w:szCs w:val="21"/>
    </w:rPr>
  </w:style>
  <w:style w:type="paragraph" w:customStyle="1" w:styleId="91">
    <w:name w:val="附录一级条标题"/>
    <w:basedOn w:val="81"/>
    <w:next w:val="22"/>
    <w:uiPriority w:val="0"/>
    <w:pPr>
      <w:autoSpaceDN w:val="0"/>
      <w:spacing w:before="50" w:beforeLines="50" w:after="50" w:afterLines="50"/>
      <w:outlineLvl w:val="2"/>
    </w:pPr>
  </w:style>
  <w:style w:type="paragraph" w:customStyle="1" w:styleId="9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3">
    <w:name w:val="标准书眉一"/>
    <w:qFormat/>
    <w:uiPriority w:val="0"/>
    <w:pPr>
      <w:jc w:val="both"/>
    </w:pPr>
    <w:rPr>
      <w:rFonts w:ascii="Times New Roman" w:hAnsi="Times New Roman" w:eastAsia="宋体" w:cs="Times New Roman"/>
      <w:lang w:val="en-US" w:eastAsia="zh-CN" w:bidi="ar-SA"/>
    </w:rPr>
  </w:style>
  <w:style w:type="paragraph" w:customStyle="1" w:styleId="94">
    <w:name w:val="封面标准英文名称2"/>
    <w:basedOn w:val="64"/>
    <w:qFormat/>
    <w:uiPriority w:val="0"/>
    <w:pPr>
      <w:framePr w:y="4469"/>
    </w:pPr>
  </w:style>
  <w:style w:type="paragraph" w:customStyle="1" w:styleId="95">
    <w:name w:val="标准书眉_偶数页"/>
    <w:basedOn w:val="80"/>
    <w:next w:val="1"/>
    <w:qFormat/>
    <w:uiPriority w:val="0"/>
    <w:pPr>
      <w:jc w:val="left"/>
    </w:pPr>
  </w:style>
  <w:style w:type="paragraph" w:customStyle="1" w:styleId="96">
    <w:name w:val="图表脚注说明"/>
    <w:basedOn w:val="1"/>
    <w:qFormat/>
    <w:uiPriority w:val="0"/>
    <w:pPr>
      <w:ind w:left="544" w:hanging="181"/>
    </w:pPr>
    <w:rPr>
      <w:rFonts w:ascii="宋体"/>
      <w:sz w:val="18"/>
      <w:szCs w:val="18"/>
    </w:rPr>
  </w:style>
  <w:style w:type="paragraph" w:customStyle="1" w:styleId="9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8">
    <w:name w:val="终结线"/>
    <w:basedOn w:val="1"/>
    <w:qFormat/>
    <w:uiPriority w:val="0"/>
    <w:pPr>
      <w:framePr w:hSpace="181" w:vSpace="181" w:wrap="around" w:vAnchor="text" w:hAnchor="margin" w:xAlign="center" w:y="285"/>
    </w:pPr>
  </w:style>
  <w:style w:type="paragraph" w:customStyle="1" w:styleId="99">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2">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0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5">
    <w:name w:val="封面标准文稿类别"/>
    <w:basedOn w:val="63"/>
    <w:qFormat/>
    <w:uiPriority w:val="0"/>
    <w:pPr>
      <w:spacing w:after="160" w:line="240" w:lineRule="auto"/>
    </w:pPr>
    <w:rPr>
      <w:sz w:val="24"/>
    </w:rPr>
  </w:style>
  <w:style w:type="paragraph" w:customStyle="1" w:styleId="106">
    <w:name w:val="其他实施日期"/>
    <w:basedOn w:val="107"/>
    <w:qFormat/>
    <w:uiPriority w:val="0"/>
  </w:style>
  <w:style w:type="paragraph" w:customStyle="1" w:styleId="107">
    <w:name w:val="实施日期"/>
    <w:basedOn w:val="88"/>
    <w:qFormat/>
    <w:uiPriority w:val="0"/>
    <w:pPr>
      <w:framePr w:vAnchor="page" w:hAnchor="text"/>
      <w:jc w:val="right"/>
    </w:pPr>
  </w:style>
  <w:style w:type="paragraph" w:customStyle="1" w:styleId="108">
    <w:name w:val="五级条标题"/>
    <w:basedOn w:val="70"/>
    <w:next w:val="22"/>
    <w:uiPriority w:val="0"/>
    <w:pPr>
      <w:numPr>
        <w:ilvl w:val="5"/>
      </w:numPr>
      <w:outlineLvl w:val="6"/>
    </w:p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1">
    <w:name w:val="字母编号列项（一级）"/>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12">
    <w:name w:val="示例"/>
    <w:next w:val="8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3">
    <w:name w:val="封面标准文稿编辑信息"/>
    <w:basedOn w:val="105"/>
    <w:qFormat/>
    <w:uiPriority w:val="0"/>
    <w:pPr>
      <w:spacing w:before="180" w:line="180" w:lineRule="exact"/>
    </w:pPr>
    <w:rPr>
      <w:sz w:val="21"/>
    </w:rPr>
  </w:style>
  <w:style w:type="paragraph" w:customStyle="1" w:styleId="114">
    <w:name w:val="封面正文"/>
    <w:uiPriority w:val="0"/>
    <w:pPr>
      <w:jc w:val="both"/>
    </w:pPr>
    <w:rPr>
      <w:rFonts w:ascii="Times New Roman" w:hAnsi="Times New Roman" w:eastAsia="宋体" w:cs="Times New Roman"/>
      <w:lang w:val="en-US" w:eastAsia="zh-CN" w:bidi="ar-SA"/>
    </w:rPr>
  </w:style>
  <w:style w:type="paragraph" w:customStyle="1" w:styleId="11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7">
    <w:name w:val="图标脚注说明"/>
    <w:basedOn w:val="22"/>
    <w:uiPriority w:val="0"/>
    <w:pPr>
      <w:ind w:left="840" w:hanging="420" w:firstLineChars="0"/>
    </w:pPr>
    <w:rPr>
      <w:sz w:val="18"/>
      <w:szCs w:val="18"/>
    </w:rPr>
  </w:style>
  <w:style w:type="paragraph" w:customStyle="1" w:styleId="118">
    <w:name w:val="附录表标号"/>
    <w:basedOn w:val="1"/>
    <w:next w:val="22"/>
    <w:qFormat/>
    <w:uiPriority w:val="0"/>
    <w:pPr>
      <w:spacing w:line="14" w:lineRule="exact"/>
      <w:ind w:left="811" w:hanging="448"/>
      <w:jc w:val="center"/>
      <w:outlineLvl w:val="0"/>
    </w:pPr>
    <w:rPr>
      <w:color w:val="FFFFFF"/>
    </w:rPr>
  </w:style>
  <w:style w:type="paragraph" w:customStyle="1" w:styleId="119">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附录表标题"/>
    <w:basedOn w:val="1"/>
    <w:next w:val="22"/>
    <w:uiPriority w:val="0"/>
    <w:pPr>
      <w:tabs>
        <w:tab w:val="left" w:pos="180"/>
      </w:tabs>
      <w:spacing w:before="50" w:beforeLines="50" w:after="50" w:afterLines="50"/>
      <w:jc w:val="center"/>
    </w:pPr>
    <w:rPr>
      <w:rFonts w:ascii="黑体" w:eastAsia="黑体"/>
      <w:szCs w:val="21"/>
    </w:rPr>
  </w:style>
  <w:style w:type="paragraph" w:customStyle="1" w:styleId="121">
    <w:name w:val="附录二级无"/>
    <w:basedOn w:val="60"/>
    <w:qFormat/>
    <w:uiPriority w:val="0"/>
    <w:pPr>
      <w:tabs>
        <w:tab w:val="clear" w:pos="360"/>
      </w:tabs>
      <w:spacing w:before="0" w:beforeLines="0" w:after="0" w:afterLines="0"/>
    </w:pPr>
    <w:rPr>
      <w:rFonts w:ascii="宋体" w:eastAsia="宋体"/>
      <w:szCs w:val="21"/>
    </w:rPr>
  </w:style>
  <w:style w:type="paragraph" w:customStyle="1" w:styleId="122">
    <w:name w:val="五级无"/>
    <w:basedOn w:val="108"/>
    <w:qFormat/>
    <w:uiPriority w:val="0"/>
    <w:pPr>
      <w:spacing w:before="0" w:beforeLines="0" w:after="0" w:afterLines="0"/>
    </w:pPr>
    <w:rPr>
      <w:rFonts w:ascii="宋体" w:eastAsia="宋体"/>
    </w:rPr>
  </w:style>
  <w:style w:type="paragraph" w:customStyle="1" w:styleId="123">
    <w:name w:val="附录三级无"/>
    <w:basedOn w:val="59"/>
    <w:qFormat/>
    <w:uiPriority w:val="0"/>
    <w:pPr>
      <w:tabs>
        <w:tab w:val="clear" w:pos="360"/>
      </w:tabs>
      <w:spacing w:before="0" w:beforeLines="0" w:after="0" w:afterLines="0"/>
    </w:pPr>
    <w:rPr>
      <w:rFonts w:ascii="宋体" w:eastAsia="宋体"/>
      <w:szCs w:val="21"/>
    </w:rPr>
  </w:style>
  <w:style w:type="paragraph" w:customStyle="1" w:styleId="124">
    <w:name w:val="附录图标题"/>
    <w:basedOn w:val="1"/>
    <w:next w:val="22"/>
    <w:qFormat/>
    <w:uiPriority w:val="0"/>
    <w:pPr>
      <w:tabs>
        <w:tab w:val="left" w:pos="363"/>
      </w:tabs>
      <w:spacing w:before="50" w:beforeLines="50" w:after="50" w:afterLines="50"/>
      <w:jc w:val="center"/>
    </w:pPr>
    <w:rPr>
      <w:rFonts w:ascii="黑体" w:eastAsia="黑体"/>
      <w:szCs w:val="21"/>
    </w:rPr>
  </w:style>
  <w:style w:type="paragraph" w:customStyle="1" w:styleId="125">
    <w:name w:val="列出段落1"/>
    <w:basedOn w:val="1"/>
    <w:qFormat/>
    <w:uiPriority w:val="0"/>
    <w:pPr>
      <w:ind w:firstLine="420" w:firstLineChars="200"/>
    </w:pPr>
    <w:rPr>
      <w:rFonts w:ascii="Calibri" w:hAnsi="Calibri"/>
      <w:szCs w:val="22"/>
    </w:rPr>
  </w:style>
  <w:style w:type="paragraph" w:customStyle="1" w:styleId="126">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7">
    <w:name w:val="其他标准标志"/>
    <w:basedOn w:val="97"/>
    <w:qFormat/>
    <w:uiPriority w:val="0"/>
    <w:pPr>
      <w:framePr w:w="6101" w:vAnchor="page" w:hAnchor="page" w:x="4673" w:y="942"/>
    </w:pPr>
    <w:rPr>
      <w:w w:val="130"/>
    </w:rPr>
  </w:style>
  <w:style w:type="paragraph" w:customStyle="1" w:styleId="128">
    <w:name w:val="示例后文字"/>
    <w:basedOn w:val="22"/>
    <w:next w:val="22"/>
    <w:qFormat/>
    <w:uiPriority w:val="0"/>
    <w:pPr>
      <w:ind w:firstLine="360"/>
    </w:pPr>
    <w:rPr>
      <w:sz w:val="18"/>
    </w:rPr>
  </w:style>
  <w:style w:type="paragraph" w:customStyle="1" w:styleId="129">
    <w:name w:val="四级无"/>
    <w:basedOn w:val="70"/>
    <w:qFormat/>
    <w:uiPriority w:val="0"/>
    <w:pPr>
      <w:spacing w:before="0" w:beforeLines="0" w:after="0" w:afterLines="0"/>
    </w:pPr>
    <w:rPr>
      <w:rFonts w:ascii="宋体" w:eastAsia="宋体"/>
    </w:rPr>
  </w:style>
  <w:style w:type="paragraph" w:customStyle="1" w:styleId="130">
    <w:name w:val="一级无"/>
    <w:basedOn w:val="52"/>
    <w:qFormat/>
    <w:uiPriority w:val="0"/>
    <w:pPr>
      <w:spacing w:before="0" w:beforeLines="0" w:after="0" w:afterLines="0"/>
    </w:pPr>
    <w:rPr>
      <w:rFonts w:ascii="宋体" w:eastAsia="宋体"/>
    </w:rPr>
  </w:style>
  <w:style w:type="paragraph" w:customStyle="1" w:styleId="131">
    <w:name w:val="正文表标题"/>
    <w:next w:val="22"/>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其他发布日期"/>
    <w:basedOn w:val="88"/>
    <w:qFormat/>
    <w:uiPriority w:val="0"/>
    <w:pPr>
      <w:framePr w:vAnchor="page" w:hAnchor="text" w:x="1419"/>
    </w:pPr>
  </w:style>
  <w:style w:type="paragraph" w:customStyle="1" w:styleId="133">
    <w:name w:val="封面标准名称2"/>
    <w:basedOn w:val="65"/>
    <w:qFormat/>
    <w:uiPriority w:val="0"/>
    <w:pPr>
      <w:framePr w:y="4469"/>
      <w:spacing w:before="630" w:beforeLines="630"/>
    </w:pPr>
  </w:style>
  <w:style w:type="paragraph" w:customStyle="1" w:styleId="134">
    <w:name w:val="封面标准文稿类别2"/>
    <w:basedOn w:val="105"/>
    <w:qFormat/>
    <w:uiPriority w:val="0"/>
    <w:pPr>
      <w:framePr w:y="4469"/>
    </w:pPr>
  </w:style>
  <w:style w:type="paragraph" w:customStyle="1" w:styleId="135">
    <w:name w:val="封面标准文稿编辑信息2"/>
    <w:basedOn w:val="113"/>
    <w:qFormat/>
    <w:uiPriority w:val="0"/>
    <w:pPr>
      <w:framePr w:y="4469"/>
    </w:pPr>
  </w:style>
  <w:style w:type="character" w:customStyle="1" w:styleId="136">
    <w:name w:val="标题 2 Char"/>
    <w:link w:val="3"/>
    <w:qFormat/>
    <w:uiPriority w:val="0"/>
    <w:rPr>
      <w:rFonts w:ascii="Cambria" w:hAnsi="Cambria" w:eastAsia="宋体" w:cs="Times New Roman"/>
      <w:b/>
      <w:bCs/>
      <w:kern w:val="2"/>
      <w:sz w:val="32"/>
      <w:szCs w:val="32"/>
    </w:rPr>
  </w:style>
  <w:style w:type="character" w:customStyle="1" w:styleId="137">
    <w:name w:val="标题 3 Char"/>
    <w:link w:val="4"/>
    <w:qFormat/>
    <w:uiPriority w:val="0"/>
    <w:rPr>
      <w:b/>
      <w:bCs/>
      <w:kern w:val="2"/>
      <w:sz w:val="32"/>
      <w:szCs w:val="32"/>
    </w:rPr>
  </w:style>
  <w:style w:type="character" w:customStyle="1" w:styleId="138">
    <w:name w:val="标题 4 Char"/>
    <w:link w:val="5"/>
    <w:qFormat/>
    <w:uiPriority w:val="0"/>
    <w:rPr>
      <w:rFonts w:ascii="Cambria" w:hAnsi="Cambria" w:eastAsia="宋体" w:cs="Times New Roman"/>
      <w:b/>
      <w:bCs/>
      <w:kern w:val="2"/>
      <w:sz w:val="28"/>
      <w:szCs w:val="28"/>
    </w:rPr>
  </w:style>
  <w:style w:type="character" w:customStyle="1" w:styleId="139">
    <w:name w:val="标题 1 Char"/>
    <w:basedOn w:val="31"/>
    <w:link w:val="2"/>
    <w:qFormat/>
    <w:uiPriority w:val="0"/>
    <w:rPr>
      <w:b/>
      <w:bCs/>
      <w:kern w:val="44"/>
      <w:sz w:val="44"/>
      <w:szCs w:val="44"/>
    </w:rPr>
  </w:style>
  <w:style w:type="paragraph" w:customStyle="1" w:styleId="14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1">
    <w:name w:val="批注框文本 Char"/>
    <w:basedOn w:val="31"/>
    <w:link w:val="16"/>
    <w:qFormat/>
    <w:uiPriority w:val="0"/>
    <w:rPr>
      <w:kern w:val="2"/>
      <w:sz w:val="18"/>
      <w:szCs w:val="18"/>
    </w:rPr>
  </w:style>
  <w:style w:type="table" w:customStyle="1" w:styleId="142">
    <w:name w:val="网格型1"/>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2"/>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4">
    <w:name w:val="标题 5 Char"/>
    <w:basedOn w:val="31"/>
    <w:link w:val="6"/>
    <w:qFormat/>
    <w:uiPriority w:val="0"/>
    <w:rPr>
      <w:b/>
      <w:bCs/>
      <w:kern w:val="2"/>
      <w:sz w:val="28"/>
      <w:szCs w:val="28"/>
    </w:rPr>
  </w:style>
  <w:style w:type="paragraph" w:customStyle="1" w:styleId="145">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5520A-AA72-4E25-A013-1E3C26E0ACEE}">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1323</Words>
  <Characters>7544</Characters>
  <Lines>62</Lines>
  <Paragraphs>17</Paragraphs>
  <TotalTime>32</TotalTime>
  <ScaleCrop>false</ScaleCrop>
  <LinksUpToDate>false</LinksUpToDate>
  <CharactersWithSpaces>8850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2020-03-04T07:53:00Z</dcterms:created>
  <dc:creator>user</dc:creator>
  <cp:lastModifiedBy>Administrator</cp:lastModifiedBy>
  <cp:lastPrinted>2018-05-23T02:12:00Z</cp:lastPrinted>
  <dcterms:modified xsi:type="dcterms:W3CDTF">2020-03-09T11:05:24Z</dcterms:modified>
  <dc:title>《聚氨酯合成革  节能环保技术要求》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