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eastAsia="宋体"/>
          <w:b/>
          <w:sz w:val="30"/>
          <w:szCs w:val="30"/>
        </w:rPr>
      </w:pPr>
      <w:r>
        <w:rPr>
          <w:rFonts w:ascii="Times New Roman" w:eastAsia="宋体"/>
          <w:b/>
          <w:sz w:val="30"/>
          <w:szCs w:val="30"/>
        </w:rPr>
        <w:t>《人造革合成革工业</w:t>
      </w:r>
      <w:r>
        <w:rPr>
          <w:rFonts w:hint="eastAsia" w:ascii="Times New Roman" w:eastAsia="宋体"/>
          <w:b/>
          <w:sz w:val="30"/>
          <w:szCs w:val="30"/>
        </w:rPr>
        <w:t>废水回收</w:t>
      </w:r>
      <w:r>
        <w:rPr>
          <w:rFonts w:ascii="Times New Roman" w:eastAsia="宋体"/>
          <w:b/>
          <w:sz w:val="30"/>
          <w:szCs w:val="30"/>
        </w:rPr>
        <w:t>利用</w:t>
      </w:r>
      <w:r>
        <w:rPr>
          <w:rFonts w:hint="eastAsia" w:ascii="Times New Roman" w:eastAsia="宋体"/>
          <w:b/>
          <w:sz w:val="30"/>
          <w:szCs w:val="30"/>
        </w:rPr>
        <w:t>技术</w:t>
      </w:r>
      <w:r>
        <w:rPr>
          <w:rFonts w:ascii="Times New Roman" w:eastAsia="宋体"/>
          <w:b/>
          <w:sz w:val="30"/>
          <w:szCs w:val="30"/>
        </w:rPr>
        <w:t>要求》</w:t>
      </w:r>
    </w:p>
    <w:p>
      <w:pPr>
        <w:pStyle w:val="10"/>
        <w:rPr>
          <w:rFonts w:ascii="Times New Roman" w:eastAsia="宋体"/>
          <w:b/>
          <w:sz w:val="30"/>
          <w:szCs w:val="30"/>
        </w:rPr>
      </w:pPr>
      <w:r>
        <w:rPr>
          <w:rFonts w:ascii="Times New Roman" w:eastAsia="宋体"/>
          <w:b/>
          <w:sz w:val="30"/>
          <w:szCs w:val="30"/>
        </w:rPr>
        <w:t>（</w:t>
      </w:r>
      <w:r>
        <w:rPr>
          <w:rFonts w:hint="eastAsia" w:ascii="Times New Roman" w:eastAsia="宋体"/>
          <w:b/>
          <w:sz w:val="30"/>
          <w:szCs w:val="30"/>
        </w:rPr>
        <w:t>征求意见稿</w:t>
      </w:r>
      <w:r>
        <w:rPr>
          <w:rFonts w:ascii="Times New Roman" w:eastAsia="宋体"/>
          <w:b/>
          <w:sz w:val="30"/>
          <w:szCs w:val="30"/>
        </w:rPr>
        <w:t>）编制说明</w:t>
      </w:r>
      <w:bookmarkStart w:id="22" w:name="_GoBack"/>
      <w:bookmarkEnd w:id="22"/>
    </w:p>
    <w:p>
      <w:pPr>
        <w:pStyle w:val="10"/>
        <w:rPr>
          <w:rFonts w:ascii="Times New Roman" w:eastAsia="宋体"/>
          <w:b/>
          <w:sz w:val="24"/>
          <w:szCs w:val="24"/>
        </w:rPr>
      </w:pPr>
    </w:p>
    <w:p>
      <w:pPr>
        <w:pStyle w:val="10"/>
        <w:numPr>
          <w:ilvl w:val="0"/>
          <w:numId w:val="1"/>
        </w:numPr>
        <w:tabs>
          <w:tab w:val="left" w:pos="0"/>
          <w:tab w:val="clear" w:pos="480"/>
        </w:tabs>
        <w:spacing w:line="360" w:lineRule="auto"/>
        <w:ind w:left="567"/>
        <w:jc w:val="both"/>
        <w:outlineLvl w:val="0"/>
        <w:rPr>
          <w:rFonts w:hAnsi="黑体"/>
          <w:b/>
          <w:sz w:val="30"/>
          <w:szCs w:val="30"/>
        </w:rPr>
      </w:pPr>
      <w:bookmarkStart w:id="0" w:name="_Toc23769772"/>
      <w:r>
        <w:rPr>
          <w:rFonts w:hAnsi="黑体"/>
          <w:sz w:val="24"/>
          <w:szCs w:val="24"/>
        </w:rPr>
        <w:t>工作简况</w:t>
      </w:r>
      <w:bookmarkEnd w:id="0"/>
    </w:p>
    <w:p>
      <w:pPr>
        <w:pStyle w:val="10"/>
        <w:numPr>
          <w:ilvl w:val="0"/>
          <w:numId w:val="2"/>
        </w:numPr>
        <w:snapToGrid w:val="0"/>
        <w:spacing w:line="360" w:lineRule="auto"/>
        <w:jc w:val="both"/>
        <w:outlineLvl w:val="1"/>
        <w:rPr>
          <w:rFonts w:ascii="宋体" w:hAnsi="宋体" w:eastAsia="宋体"/>
          <w:b/>
          <w:sz w:val="24"/>
          <w:szCs w:val="24"/>
        </w:rPr>
      </w:pPr>
      <w:bookmarkStart w:id="1" w:name="_Toc23769773"/>
      <w:r>
        <w:rPr>
          <w:rFonts w:ascii="宋体" w:hAnsi="宋体" w:eastAsia="宋体"/>
          <w:b/>
          <w:sz w:val="24"/>
        </w:rPr>
        <w:t>任务来源</w:t>
      </w:r>
      <w:bookmarkEnd w:id="1"/>
    </w:p>
    <w:p>
      <w:pPr>
        <w:pStyle w:val="10"/>
        <w:numPr>
          <w:ilvl w:val="0"/>
          <w:numId w:val="0"/>
        </w:numPr>
        <w:snapToGrid w:val="0"/>
        <w:spacing w:line="360" w:lineRule="auto"/>
        <w:ind w:leftChars="0" w:firstLine="480" w:firstLineChars="200"/>
        <w:jc w:val="both"/>
        <w:outlineLvl w:val="1"/>
        <w:rPr>
          <w:rFonts w:hint="eastAsia" w:ascii="宋体" w:hAnsi="宋体" w:eastAsia="宋体" w:cs="宋体"/>
          <w:b/>
          <w:sz w:val="24"/>
        </w:rPr>
      </w:pPr>
      <w:r>
        <w:rPr>
          <w:rFonts w:hint="eastAsia" w:ascii="宋体" w:hAnsi="宋体" w:eastAsia="宋体" w:cs="宋体"/>
          <w:sz w:val="24"/>
        </w:rPr>
        <w:t>根据工业和信息化部办公厅《关于印发2019年第一批行业标准制修订和外文版项目计划的通知》（工信厅科函（2019）126号），“人造革合成革工业废水回收利用技术要求”</w:t>
      </w:r>
      <w:r>
        <w:rPr>
          <w:rFonts w:hint="eastAsia" w:ascii="宋体" w:hAnsi="宋体" w:eastAsia="宋体" w:cs="宋体"/>
          <w:sz w:val="24"/>
          <w:lang w:val="en-US" w:eastAsia="zh-CN"/>
        </w:rPr>
        <w:t>进行制定</w:t>
      </w:r>
      <w:r>
        <w:rPr>
          <w:rFonts w:hint="eastAsia" w:ascii="宋体" w:hAnsi="宋体" w:eastAsia="宋体" w:cs="宋体"/>
          <w:sz w:val="24"/>
        </w:rPr>
        <w:t>，计划号：2019-0129T-QB</w:t>
      </w:r>
      <w:r>
        <w:rPr>
          <w:rFonts w:hint="eastAsia" w:ascii="宋体" w:hAnsi="宋体" w:eastAsia="宋体" w:cs="宋体"/>
          <w:sz w:val="24"/>
          <w:lang w:eastAsia="zh-CN"/>
        </w:rPr>
        <w:t>，主要起草单位：昆山阿基里斯人造皮有限公司，计划完成时限为</w:t>
      </w:r>
      <w:r>
        <w:rPr>
          <w:rFonts w:hint="eastAsia" w:ascii="宋体" w:hAnsi="宋体" w:eastAsia="宋体" w:cs="宋体"/>
          <w:sz w:val="24"/>
          <w:lang w:val="en-US" w:eastAsia="zh-CN"/>
        </w:rPr>
        <w:t>2020年。</w:t>
      </w:r>
    </w:p>
    <w:p>
      <w:pPr>
        <w:pStyle w:val="10"/>
        <w:numPr>
          <w:ilvl w:val="0"/>
          <w:numId w:val="2"/>
        </w:numPr>
        <w:snapToGrid w:val="0"/>
        <w:spacing w:line="360" w:lineRule="auto"/>
        <w:jc w:val="both"/>
        <w:outlineLvl w:val="1"/>
        <w:rPr>
          <w:rFonts w:ascii="宋体" w:hAnsi="宋体" w:eastAsia="宋体"/>
          <w:b/>
          <w:sz w:val="24"/>
        </w:rPr>
      </w:pPr>
      <w:bookmarkStart w:id="2" w:name="_Toc23769774"/>
      <w:r>
        <w:rPr>
          <w:rFonts w:ascii="宋体" w:hAnsi="宋体" w:eastAsia="宋体"/>
          <w:b/>
          <w:sz w:val="24"/>
        </w:rPr>
        <w:t>主要工作过程</w:t>
      </w:r>
      <w:bookmarkEnd w:id="2"/>
    </w:p>
    <w:p>
      <w:pPr>
        <w:snapToGrid w:val="0"/>
        <w:spacing w:line="360" w:lineRule="auto"/>
        <w:rPr>
          <w:bCs/>
          <w:sz w:val="24"/>
        </w:rPr>
      </w:pPr>
      <w:r>
        <w:rPr>
          <w:rFonts w:hint="eastAsia" w:ascii="宋体" w:hAnsi="宋体"/>
          <w:sz w:val="24"/>
        </w:rPr>
        <w:t>（1）</w:t>
      </w:r>
      <w:r>
        <w:rPr>
          <w:bCs/>
          <w:sz w:val="24"/>
        </w:rPr>
        <w:t>标准起草阶段：</w:t>
      </w:r>
    </w:p>
    <w:p>
      <w:pPr>
        <w:pStyle w:val="10"/>
        <w:snapToGrid w:val="0"/>
        <w:spacing w:line="360" w:lineRule="auto"/>
        <w:jc w:val="both"/>
        <w:rPr>
          <w:rFonts w:ascii="Times New Roman" w:eastAsia="宋体"/>
          <w:sz w:val="24"/>
        </w:rPr>
      </w:pP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计划下达后，</w:t>
      </w:r>
      <w:r>
        <w:rPr>
          <w:rFonts w:hint="eastAsia" w:ascii="Times New Roman" w:eastAsia="宋体"/>
          <w:bCs/>
          <w:sz w:val="24"/>
          <w:szCs w:val="24"/>
        </w:rPr>
        <w:t>根据中国轻工业联合会工作安排，</w:t>
      </w:r>
      <w:r>
        <w:rPr>
          <w:rFonts w:hint="eastAsia" w:ascii="Times New Roman" w:eastAsia="宋体"/>
          <w:bCs/>
          <w:sz w:val="24"/>
          <w:szCs w:val="24"/>
          <w:lang w:eastAsia="zh-CN"/>
        </w:rPr>
        <w:t>中国轻工业联合会综合业务部于</w:t>
      </w:r>
      <w:r>
        <w:rPr>
          <w:rFonts w:hint="eastAsia" w:ascii="Times New Roman" w:eastAsia="宋体"/>
          <w:bCs/>
          <w:sz w:val="24"/>
          <w:szCs w:val="24"/>
        </w:rPr>
        <w:t>2019年9月21日在成都市四川大学皮革楼召开了本标准的制定工作启动会，成立了由昆山阿基里斯人造皮有限公司</w:t>
      </w:r>
      <w:r>
        <w:rPr>
          <w:rFonts w:ascii="Times New Roman" w:eastAsia="宋体"/>
          <w:bCs/>
          <w:sz w:val="24"/>
          <w:szCs w:val="24"/>
        </w:rPr>
        <w:t>、</w:t>
      </w:r>
      <w:r>
        <w:rPr>
          <w:rFonts w:hint="eastAsia" w:ascii="Times New Roman" w:eastAsia="宋体"/>
          <w:bCs/>
          <w:sz w:val="24"/>
          <w:szCs w:val="24"/>
        </w:rPr>
        <w:t>轻工业环保研究所、中国</w:t>
      </w:r>
      <w:r>
        <w:rPr>
          <w:rFonts w:ascii="Times New Roman" w:eastAsia="宋体"/>
          <w:bCs/>
          <w:sz w:val="24"/>
          <w:szCs w:val="24"/>
        </w:rPr>
        <w:t>轻工业发展研究中心、</w:t>
      </w:r>
      <w:r>
        <w:rPr>
          <w:rFonts w:hint="eastAsia" w:ascii="Times New Roman" w:eastAsia="宋体"/>
          <w:bCs/>
          <w:sz w:val="24"/>
          <w:szCs w:val="24"/>
        </w:rPr>
        <w:t>行业内其他17家企业组成的标准制定工作组。</w:t>
      </w:r>
      <w:r>
        <w:rPr>
          <w:rFonts w:ascii="Times New Roman" w:eastAsia="宋体"/>
          <w:sz w:val="24"/>
        </w:rPr>
        <w:t>会议上对标准起草工作的计划、进度及分工协作等进行了安排。</w:t>
      </w:r>
      <w:r>
        <w:rPr>
          <w:rFonts w:hint="eastAsia" w:ascii="Times New Roman" w:eastAsia="宋体"/>
          <w:sz w:val="24"/>
        </w:rPr>
        <w:t>同时，与会代表对标准征求意见讨论稿进行了深入讨论，提出多项修改意见和建议。</w:t>
      </w:r>
    </w:p>
    <w:p>
      <w:pPr>
        <w:pStyle w:val="10"/>
        <w:snapToGrid w:val="0"/>
        <w:spacing w:line="360" w:lineRule="auto"/>
        <w:ind w:firstLine="480" w:firstLineChars="200"/>
        <w:jc w:val="both"/>
        <w:rPr>
          <w:rFonts w:hint="eastAsia" w:ascii="Times New Roman" w:eastAsia="宋体"/>
          <w:sz w:val="24"/>
        </w:rPr>
      </w:pPr>
      <w:r>
        <w:rPr>
          <w:rFonts w:hint="eastAsia" w:ascii="Times New Roman" w:eastAsia="宋体"/>
          <w:sz w:val="24"/>
          <w:szCs w:val="24"/>
        </w:rPr>
        <w:t>会后</w:t>
      </w:r>
      <w:r>
        <w:rPr>
          <w:rFonts w:ascii="Times New Roman" w:eastAsia="宋体"/>
          <w:sz w:val="24"/>
          <w:szCs w:val="24"/>
        </w:rPr>
        <w:t>标准</w:t>
      </w:r>
      <w:r>
        <w:rPr>
          <w:rFonts w:hint="eastAsia" w:ascii="Times New Roman" w:eastAsia="宋体"/>
          <w:sz w:val="24"/>
          <w:szCs w:val="24"/>
        </w:rPr>
        <w:t>制定</w:t>
      </w:r>
      <w:r>
        <w:rPr>
          <w:rFonts w:ascii="Times New Roman" w:eastAsia="宋体"/>
          <w:sz w:val="24"/>
          <w:szCs w:val="24"/>
        </w:rPr>
        <w:t>工作组根据工作进度安排，</w:t>
      </w:r>
      <w:r>
        <w:rPr>
          <w:rFonts w:hint="eastAsia" w:ascii="Times New Roman" w:eastAsia="宋体"/>
          <w:sz w:val="24"/>
          <w:szCs w:val="24"/>
        </w:rPr>
        <w:t>采取现场调研和发放调查表等方式对20余家国内主要人造革合成革企业进行了废水回收</w:t>
      </w:r>
      <w:r>
        <w:rPr>
          <w:rFonts w:ascii="Times New Roman" w:eastAsia="宋体"/>
          <w:sz w:val="24"/>
          <w:szCs w:val="24"/>
        </w:rPr>
        <w:t>利用</w:t>
      </w:r>
      <w:r>
        <w:rPr>
          <w:rFonts w:hint="eastAsia" w:ascii="Times New Roman" w:eastAsia="宋体"/>
          <w:sz w:val="24"/>
          <w:szCs w:val="24"/>
        </w:rPr>
        <w:t>方面的调研，取得了大量数据和相关资料，对制定本标准具有指导作用。工作组对调研的数据及其他废水处理</w:t>
      </w:r>
      <w:r>
        <w:rPr>
          <w:rFonts w:ascii="Times New Roman" w:eastAsia="宋体"/>
          <w:sz w:val="24"/>
          <w:szCs w:val="24"/>
        </w:rPr>
        <w:t>及回收利用相关资料</w:t>
      </w:r>
      <w:r>
        <w:rPr>
          <w:rFonts w:hint="eastAsia" w:ascii="Times New Roman" w:eastAsia="宋体"/>
          <w:sz w:val="24"/>
          <w:szCs w:val="24"/>
        </w:rPr>
        <w:t>，根据第一次会上提出的意见和建议，</w:t>
      </w:r>
      <w:r>
        <w:rPr>
          <w:rFonts w:ascii="Times New Roman" w:eastAsia="宋体"/>
          <w:sz w:val="24"/>
        </w:rPr>
        <w:t>经反复</w:t>
      </w:r>
      <w:r>
        <w:rPr>
          <w:rFonts w:hint="eastAsia" w:ascii="Times New Roman" w:eastAsia="宋体"/>
          <w:sz w:val="24"/>
        </w:rPr>
        <w:t>研究</w:t>
      </w:r>
      <w:r>
        <w:rPr>
          <w:rFonts w:ascii="Times New Roman" w:eastAsia="宋体"/>
          <w:sz w:val="24"/>
        </w:rPr>
        <w:t>讨论确定了各项技术要求，</w:t>
      </w:r>
      <w:r>
        <w:rPr>
          <w:rFonts w:hint="eastAsia" w:ascii="Times New Roman" w:eastAsia="宋体"/>
          <w:sz w:val="24"/>
        </w:rPr>
        <w:t>完成了标准征求意见稿</w:t>
      </w:r>
      <w:r>
        <w:rPr>
          <w:rFonts w:hint="eastAsia" w:ascii="Times New Roman" w:eastAsia="宋体"/>
          <w:sz w:val="24"/>
          <w:lang w:eastAsia="zh-CN"/>
        </w:rPr>
        <w:t>（讨论稿）</w:t>
      </w:r>
      <w:r>
        <w:rPr>
          <w:rFonts w:hint="eastAsia" w:ascii="Times New Roman" w:eastAsia="宋体"/>
          <w:sz w:val="24"/>
        </w:rPr>
        <w:t>和标准编制说明。</w:t>
      </w:r>
    </w:p>
    <w:p>
      <w:pPr>
        <w:pStyle w:val="10"/>
        <w:snapToGrid w:val="0"/>
        <w:spacing w:line="360" w:lineRule="auto"/>
        <w:ind w:firstLine="480" w:firstLineChars="200"/>
        <w:jc w:val="both"/>
        <w:rPr>
          <w:rFonts w:hint="default" w:ascii="Times New Roman" w:eastAsia="宋体"/>
          <w:sz w:val="24"/>
          <w:lang w:val="en-US" w:eastAsia="zh-CN"/>
        </w:rPr>
      </w:pPr>
      <w:r>
        <w:rPr>
          <w:rFonts w:hint="eastAsia" w:ascii="Times New Roman" w:eastAsia="宋体"/>
          <w:sz w:val="24"/>
          <w:lang w:val="en-US" w:eastAsia="zh-CN"/>
        </w:rPr>
        <w:t>2019年11月15日工作组召开第二次工作会议，对标准征求意见稿（讨论稿）进行了讨论修改，会后工作组修改完成征求意见稿，提交中国轻工联合会综合业务部。</w:t>
      </w:r>
    </w:p>
    <w:p>
      <w:pPr>
        <w:snapToGrid w:val="0"/>
        <w:spacing w:line="360" w:lineRule="auto"/>
        <w:rPr>
          <w:rFonts w:ascii="宋体" w:hAnsi="宋体"/>
          <w:sz w:val="24"/>
        </w:rPr>
      </w:pPr>
      <w:r>
        <w:rPr>
          <w:rFonts w:hint="eastAsia" w:ascii="宋体" w:hAnsi="宋体"/>
          <w:sz w:val="24"/>
        </w:rPr>
        <w:t>（2）征求意见阶段：</w:t>
      </w:r>
    </w:p>
    <w:p>
      <w:pPr>
        <w:snapToGrid w:val="0"/>
        <w:spacing w:line="360" w:lineRule="auto"/>
        <w:rPr>
          <w:rFonts w:ascii="宋体" w:hAnsi="宋体"/>
          <w:sz w:val="24"/>
        </w:rPr>
      </w:pPr>
      <w:r>
        <w:rPr>
          <w:rFonts w:hint="eastAsia" w:ascii="宋体" w:hAnsi="宋体"/>
          <w:sz w:val="24"/>
        </w:rPr>
        <w:t>（3）</w:t>
      </w:r>
      <w:r>
        <w:rPr>
          <w:rFonts w:hint="eastAsia" w:ascii="宋体" w:hAnsi="宋体"/>
          <w:sz w:val="24"/>
          <w:lang w:eastAsia="zh-CN"/>
        </w:rPr>
        <w:t>审查</w:t>
      </w:r>
      <w:r>
        <w:rPr>
          <w:rFonts w:ascii="宋体" w:hAnsi="宋体"/>
          <w:sz w:val="24"/>
        </w:rPr>
        <w:t>阶段</w:t>
      </w:r>
      <w:r>
        <w:rPr>
          <w:rFonts w:hint="eastAsia" w:ascii="宋体" w:hAnsi="宋体"/>
          <w:sz w:val="24"/>
        </w:rPr>
        <w:t>；</w:t>
      </w:r>
    </w:p>
    <w:p>
      <w:pPr>
        <w:snapToGrid w:val="0"/>
        <w:spacing w:line="360" w:lineRule="auto"/>
        <w:rPr>
          <w:rFonts w:ascii="宋体" w:hAnsi="宋体"/>
          <w:sz w:val="24"/>
        </w:rPr>
      </w:pPr>
      <w:r>
        <w:rPr>
          <w:rFonts w:hint="eastAsia" w:ascii="宋体" w:hAnsi="宋体"/>
          <w:sz w:val="24"/>
        </w:rPr>
        <w:t>（4）报批</w:t>
      </w:r>
      <w:r>
        <w:rPr>
          <w:rFonts w:ascii="宋体" w:hAnsi="宋体"/>
          <w:sz w:val="24"/>
        </w:rPr>
        <w:t>阶段；</w:t>
      </w:r>
    </w:p>
    <w:p>
      <w:pPr>
        <w:pStyle w:val="10"/>
        <w:numPr>
          <w:ilvl w:val="0"/>
          <w:numId w:val="0"/>
        </w:numPr>
        <w:spacing w:line="360" w:lineRule="auto"/>
        <w:ind w:leftChars="0"/>
        <w:jc w:val="both"/>
        <w:outlineLvl w:val="1"/>
        <w:rPr>
          <w:rFonts w:ascii="宋体" w:hAnsi="宋体" w:eastAsia="宋体"/>
          <w:b/>
          <w:sz w:val="24"/>
        </w:rPr>
      </w:pPr>
      <w:bookmarkStart w:id="3" w:name="_Toc23769775"/>
      <w:r>
        <w:rPr>
          <w:rFonts w:ascii="宋体" w:hAnsi="宋体" w:eastAsia="宋体"/>
          <w:b/>
          <w:sz w:val="24"/>
        </w:rPr>
        <w:t>主要参加单位和工作组成员及其所做的工作等</w:t>
      </w:r>
      <w:bookmarkEnd w:id="3"/>
    </w:p>
    <w:p>
      <w:pPr>
        <w:spacing w:line="360" w:lineRule="auto"/>
        <w:ind w:firstLine="480" w:firstLineChars="200"/>
        <w:rPr>
          <w:sz w:val="24"/>
        </w:rPr>
      </w:pPr>
      <w:r>
        <w:rPr>
          <w:sz w:val="24"/>
        </w:rPr>
        <w:t>本标准由</w:t>
      </w:r>
      <w:r>
        <w:rPr>
          <w:rFonts w:hint="eastAsia"/>
          <w:sz w:val="24"/>
        </w:rPr>
        <w:t>昆山阿基里斯人造皮有限公司、轻工业环境保护研究所、中国轻工业科技发展中心、昆山协孚新材料股份有限公司等</w:t>
      </w:r>
      <w:r>
        <w:rPr>
          <w:sz w:val="24"/>
        </w:rPr>
        <w:t>共同负责起草。</w:t>
      </w:r>
    </w:p>
    <w:p>
      <w:pPr>
        <w:spacing w:line="360" w:lineRule="auto"/>
        <w:ind w:firstLine="480" w:firstLineChars="200"/>
        <w:rPr>
          <w:sz w:val="24"/>
          <w:szCs w:val="24"/>
        </w:rPr>
      </w:pPr>
      <w:r>
        <w:rPr>
          <w:sz w:val="24"/>
          <w:szCs w:val="24"/>
        </w:rPr>
        <w:t>主要成员：</w:t>
      </w:r>
    </w:p>
    <w:p>
      <w:pPr>
        <w:spacing w:line="360" w:lineRule="auto"/>
        <w:ind w:firstLine="480" w:firstLineChars="200"/>
        <w:rPr>
          <w:sz w:val="24"/>
        </w:rPr>
      </w:pPr>
      <w:r>
        <w:rPr>
          <w:sz w:val="24"/>
        </w:rPr>
        <w:t>所做的工作：</w:t>
      </w:r>
      <w:r>
        <w:rPr>
          <w:rFonts w:hint="eastAsia"/>
          <w:sz w:val="24"/>
        </w:rPr>
        <w:t>昆山阿基里斯人造皮有限公司负责</w:t>
      </w:r>
      <w:r>
        <w:rPr>
          <w:sz w:val="24"/>
        </w:rPr>
        <w:t>起草工作组全部统筹安排</w:t>
      </w:r>
      <w:r>
        <w:rPr>
          <w:rFonts w:hint="eastAsia"/>
          <w:sz w:val="24"/>
        </w:rPr>
        <w:t>，</w:t>
      </w:r>
      <w:r>
        <w:rPr>
          <w:sz w:val="24"/>
        </w:rPr>
        <w:t>轻工业环境保护研究所、中国轻工业发展研究中心负责标准的起草和编制工作，</w:t>
      </w:r>
      <w:r>
        <w:rPr>
          <w:rFonts w:hint="eastAsia"/>
          <w:sz w:val="24"/>
        </w:rPr>
        <w:t>昆山阿基里斯人造皮有限公司负责</w:t>
      </w:r>
      <w:r>
        <w:rPr>
          <w:sz w:val="24"/>
        </w:rPr>
        <w:t>行业调研和</w:t>
      </w:r>
      <w:r>
        <w:rPr>
          <w:rFonts w:hint="eastAsia"/>
          <w:sz w:val="24"/>
        </w:rPr>
        <w:t>数据</w:t>
      </w:r>
      <w:r>
        <w:rPr>
          <w:sz w:val="24"/>
        </w:rPr>
        <w:t>的整理，轻工业环境保护研究所、中国轻工业发展研究中心</w:t>
      </w:r>
      <w:r>
        <w:rPr>
          <w:rFonts w:hint="eastAsia"/>
          <w:sz w:val="24"/>
        </w:rPr>
        <w:t>负责</w:t>
      </w:r>
      <w:r>
        <w:rPr>
          <w:sz w:val="24"/>
        </w:rPr>
        <w:t>标准格式</w:t>
      </w:r>
      <w:r>
        <w:rPr>
          <w:rFonts w:hint="eastAsia"/>
          <w:sz w:val="24"/>
        </w:rPr>
        <w:t>、文字</w:t>
      </w:r>
      <w:r>
        <w:rPr>
          <w:sz w:val="24"/>
        </w:rPr>
        <w:t>的校对和修订工作。</w:t>
      </w:r>
    </w:p>
    <w:p>
      <w:pPr>
        <w:pStyle w:val="10"/>
        <w:numPr>
          <w:ilvl w:val="0"/>
          <w:numId w:val="1"/>
        </w:numPr>
        <w:spacing w:line="360" w:lineRule="auto"/>
        <w:jc w:val="both"/>
        <w:outlineLvl w:val="0"/>
        <w:rPr>
          <w:rFonts w:ascii="Times New Roman"/>
          <w:sz w:val="24"/>
          <w:szCs w:val="24"/>
        </w:rPr>
      </w:pPr>
      <w:bookmarkStart w:id="4" w:name="_Toc23769776"/>
      <w:r>
        <w:rPr>
          <w:rFonts w:ascii="Times New Roman"/>
          <w:sz w:val="24"/>
          <w:szCs w:val="24"/>
        </w:rPr>
        <w:t>标准编制原则和确定标准主要内容的论证</w:t>
      </w:r>
      <w:bookmarkEnd w:id="4"/>
    </w:p>
    <w:p>
      <w:pPr>
        <w:pStyle w:val="10"/>
        <w:spacing w:line="360" w:lineRule="auto"/>
        <w:jc w:val="both"/>
        <w:outlineLvl w:val="1"/>
        <w:rPr>
          <w:rFonts w:ascii="宋体" w:hAnsi="宋体" w:eastAsia="宋体"/>
          <w:b/>
          <w:sz w:val="24"/>
        </w:rPr>
      </w:pPr>
      <w:bookmarkStart w:id="5" w:name="_Toc23769777"/>
      <w:r>
        <w:rPr>
          <w:rFonts w:ascii="宋体" w:hAnsi="宋体" w:eastAsia="宋体"/>
          <w:b/>
          <w:sz w:val="24"/>
        </w:rPr>
        <w:t>1、编制原则</w:t>
      </w:r>
      <w:bookmarkEnd w:id="5"/>
    </w:p>
    <w:p>
      <w:pPr>
        <w:snapToGrid w:val="0"/>
        <w:spacing w:line="360" w:lineRule="auto"/>
        <w:ind w:firstLine="480" w:firstLineChars="200"/>
        <w:rPr>
          <w:sz w:val="24"/>
        </w:rPr>
      </w:pPr>
      <w:r>
        <w:rPr>
          <w:sz w:val="24"/>
        </w:rPr>
        <w:t>目前，我国已成为世界上人造革合成革生产第一大国、消费大国和进出口贸易大国。2018年，人造革、合成革产量为299.5万吨，同比增长1.04%；工业总产值为907.6亿元，同比下降5.8%；规模以上企业有448家，主营业务收入978亿元，同比下降4.6%；出口量为4.78万吨，占总产量的1.6%。人造革合成革行业尤其是以聚氨酯为原料生产合成革的企业用水量大，目前人造革合成革行业还未</w:t>
      </w:r>
      <w:r>
        <w:rPr>
          <w:rFonts w:hint="eastAsia"/>
          <w:sz w:val="24"/>
        </w:rPr>
        <w:t>有</w:t>
      </w:r>
      <w:r>
        <w:rPr>
          <w:sz w:val="24"/>
        </w:rPr>
        <w:t>废水回收利用技术的标准规范；为了加强</w:t>
      </w:r>
      <w:r>
        <w:rPr>
          <w:rFonts w:hint="eastAsia"/>
          <w:sz w:val="24"/>
        </w:rPr>
        <w:t>废水</w:t>
      </w:r>
      <w:r>
        <w:rPr>
          <w:sz w:val="24"/>
        </w:rPr>
        <w:t>回用管理，规范行业标准，进一步与国际接轨，按照标准化的工作要求，有必要制定该标准，以便更好地用于指导生产，促进行业技术进步，提高用水效率。</w:t>
      </w:r>
    </w:p>
    <w:p>
      <w:pPr>
        <w:pStyle w:val="10"/>
        <w:snapToGrid w:val="0"/>
        <w:spacing w:line="360" w:lineRule="auto"/>
        <w:ind w:left="2" w:firstLine="480"/>
        <w:jc w:val="both"/>
        <w:rPr>
          <w:rFonts w:ascii="Times New Roman"/>
          <w:sz w:val="24"/>
          <w:szCs w:val="24"/>
        </w:rPr>
      </w:pPr>
      <w:r>
        <w:rPr>
          <w:rFonts w:ascii="Times New Roman" w:eastAsia="宋体"/>
          <w:sz w:val="24"/>
          <w:szCs w:val="24"/>
        </w:rPr>
        <w:t>本标准编制过程中，主要体现如下原则：</w:t>
      </w:r>
    </w:p>
    <w:p>
      <w:pPr>
        <w:pStyle w:val="10"/>
        <w:numPr>
          <w:ilvl w:val="0"/>
          <w:numId w:val="3"/>
        </w:numPr>
        <w:snapToGrid w:val="0"/>
        <w:spacing w:line="360" w:lineRule="auto"/>
        <w:ind w:left="2" w:firstLine="282"/>
        <w:jc w:val="both"/>
        <w:rPr>
          <w:rFonts w:ascii="Times New Roman" w:eastAsia="宋体"/>
          <w:sz w:val="24"/>
          <w:szCs w:val="24"/>
        </w:rPr>
      </w:pPr>
      <w:r>
        <w:rPr>
          <w:rFonts w:hint="eastAsia" w:ascii="Times New Roman" w:eastAsia="宋体"/>
          <w:sz w:val="24"/>
          <w:szCs w:val="24"/>
        </w:rPr>
        <w:t>协调性</w:t>
      </w:r>
      <w:r>
        <w:rPr>
          <w:rFonts w:ascii="Times New Roman" w:eastAsia="宋体"/>
          <w:sz w:val="24"/>
          <w:szCs w:val="24"/>
        </w:rPr>
        <w:t>原则：与人造革合成革相关领域法律、法规和规章、国家与行业标准等的兼容和协调一致，有利于标准的执行；</w:t>
      </w:r>
    </w:p>
    <w:p>
      <w:pPr>
        <w:pStyle w:val="10"/>
        <w:numPr>
          <w:ilvl w:val="0"/>
          <w:numId w:val="3"/>
        </w:numPr>
        <w:snapToGrid w:val="0"/>
        <w:spacing w:line="360" w:lineRule="auto"/>
        <w:ind w:left="2" w:firstLine="282"/>
        <w:jc w:val="both"/>
        <w:rPr>
          <w:rFonts w:ascii="Times New Roman" w:eastAsia="宋体"/>
          <w:sz w:val="24"/>
          <w:szCs w:val="24"/>
        </w:rPr>
      </w:pPr>
      <w:r>
        <w:rPr>
          <w:rFonts w:hint="eastAsia" w:ascii="Times New Roman" w:eastAsia="宋体"/>
          <w:sz w:val="24"/>
          <w:szCs w:val="24"/>
        </w:rPr>
        <w:t>规范性</w:t>
      </w:r>
      <w:r>
        <w:rPr>
          <w:rFonts w:ascii="Times New Roman" w:eastAsia="宋体"/>
          <w:sz w:val="24"/>
          <w:szCs w:val="24"/>
        </w:rPr>
        <w:t>原则：要求所述内容具有规范性、科学性、先进性、合理性和可行性；</w:t>
      </w:r>
    </w:p>
    <w:p>
      <w:pPr>
        <w:pStyle w:val="10"/>
        <w:numPr>
          <w:ilvl w:val="0"/>
          <w:numId w:val="3"/>
        </w:numPr>
        <w:snapToGrid w:val="0"/>
        <w:spacing w:line="360" w:lineRule="auto"/>
        <w:ind w:left="2" w:firstLine="282"/>
        <w:jc w:val="both"/>
        <w:rPr>
          <w:rFonts w:ascii="Times New Roman" w:eastAsia="宋体"/>
          <w:sz w:val="24"/>
          <w:szCs w:val="24"/>
        </w:rPr>
      </w:pPr>
      <w:r>
        <w:rPr>
          <w:rFonts w:hint="eastAsia" w:ascii="Times New Roman" w:eastAsia="宋体"/>
          <w:sz w:val="24"/>
          <w:szCs w:val="24"/>
        </w:rPr>
        <w:t>激励性</w:t>
      </w:r>
      <w:r>
        <w:rPr>
          <w:rFonts w:ascii="Times New Roman" w:eastAsia="宋体"/>
          <w:sz w:val="24"/>
          <w:szCs w:val="24"/>
        </w:rPr>
        <w:t>原则：推进</w:t>
      </w:r>
      <w:r>
        <w:rPr>
          <w:rFonts w:hint="eastAsia" w:ascii="Times New Roman" w:eastAsia="宋体"/>
          <w:sz w:val="24"/>
          <w:szCs w:val="24"/>
        </w:rPr>
        <w:t>人造革</w:t>
      </w:r>
      <w:r>
        <w:rPr>
          <w:rFonts w:ascii="Times New Roman" w:eastAsia="宋体"/>
          <w:sz w:val="24"/>
          <w:szCs w:val="24"/>
        </w:rPr>
        <w:t>合成革企业废水的回收利用</w:t>
      </w:r>
      <w:r>
        <w:rPr>
          <w:rFonts w:hint="eastAsia" w:ascii="Times New Roman" w:eastAsia="宋体"/>
          <w:sz w:val="24"/>
          <w:szCs w:val="24"/>
        </w:rPr>
        <w:t>、</w:t>
      </w:r>
      <w:r>
        <w:rPr>
          <w:rFonts w:ascii="Times New Roman" w:eastAsia="宋体"/>
          <w:sz w:val="24"/>
          <w:szCs w:val="24"/>
        </w:rPr>
        <w:t>减少水污染物的排放</w:t>
      </w:r>
      <w:r>
        <w:rPr>
          <w:rFonts w:hint="eastAsia" w:ascii="Times New Roman" w:eastAsia="宋体"/>
          <w:sz w:val="24"/>
          <w:szCs w:val="24"/>
        </w:rPr>
        <w:t>。</w:t>
      </w:r>
      <w:r>
        <w:rPr>
          <w:rFonts w:ascii="Times New Roman" w:eastAsia="宋体"/>
          <w:sz w:val="24"/>
          <w:szCs w:val="24"/>
        </w:rPr>
        <w:t xml:space="preserve"> </w:t>
      </w:r>
    </w:p>
    <w:p>
      <w:pPr>
        <w:pStyle w:val="21"/>
        <w:numPr>
          <w:ilvl w:val="0"/>
          <w:numId w:val="3"/>
        </w:numPr>
        <w:autoSpaceDE w:val="0"/>
        <w:autoSpaceDN w:val="0"/>
        <w:adjustRightInd w:val="0"/>
        <w:snapToGrid w:val="0"/>
        <w:spacing w:line="360" w:lineRule="auto"/>
        <w:ind w:firstLineChars="0"/>
        <w:jc w:val="left"/>
        <w:rPr>
          <w:kern w:val="0"/>
          <w:sz w:val="24"/>
        </w:rPr>
      </w:pPr>
      <w:r>
        <w:rPr>
          <w:rFonts w:hint="eastAsia"/>
          <w:kern w:val="0"/>
          <w:sz w:val="24"/>
        </w:rPr>
        <w:t>目标</w:t>
      </w:r>
      <w:r>
        <w:rPr>
          <w:kern w:val="0"/>
          <w:sz w:val="24"/>
        </w:rPr>
        <w:t>可达原则：标准制定过程中，对于涉及的</w:t>
      </w:r>
      <w:r>
        <w:rPr>
          <w:rFonts w:hint="eastAsia"/>
          <w:kern w:val="0"/>
          <w:sz w:val="24"/>
        </w:rPr>
        <w:t>废水利用</w:t>
      </w:r>
      <w:r>
        <w:rPr>
          <w:kern w:val="0"/>
          <w:sz w:val="24"/>
        </w:rPr>
        <w:t>指标</w:t>
      </w:r>
      <w:r>
        <w:rPr>
          <w:rFonts w:hint="eastAsia"/>
          <w:kern w:val="0"/>
          <w:sz w:val="24"/>
        </w:rPr>
        <w:t>力求</w:t>
      </w:r>
      <w:r>
        <w:rPr>
          <w:kern w:val="0"/>
          <w:sz w:val="24"/>
        </w:rPr>
        <w:t>实用、有效，</w:t>
      </w:r>
      <w:r>
        <w:rPr>
          <w:rFonts w:hint="eastAsia"/>
          <w:kern w:val="0"/>
          <w:sz w:val="24"/>
        </w:rPr>
        <w:t>所列指标</w:t>
      </w:r>
      <w:r>
        <w:rPr>
          <w:kern w:val="0"/>
          <w:sz w:val="24"/>
        </w:rPr>
        <w:t>人造革合成革</w:t>
      </w:r>
      <w:r>
        <w:rPr>
          <w:rFonts w:hint="eastAsia"/>
          <w:kern w:val="0"/>
          <w:sz w:val="24"/>
        </w:rPr>
        <w:t>企业</w:t>
      </w:r>
      <w:r>
        <w:rPr>
          <w:kern w:val="0"/>
          <w:sz w:val="24"/>
        </w:rPr>
        <w:t>经过改造可实现，</w:t>
      </w:r>
      <w:r>
        <w:rPr>
          <w:rFonts w:hint="eastAsia"/>
          <w:kern w:val="0"/>
          <w:sz w:val="24"/>
        </w:rPr>
        <w:t>废水回收</w:t>
      </w:r>
      <w:r>
        <w:rPr>
          <w:kern w:val="0"/>
          <w:sz w:val="24"/>
        </w:rPr>
        <w:t>利用目标可达。</w:t>
      </w:r>
    </w:p>
    <w:p>
      <w:pPr>
        <w:pStyle w:val="10"/>
        <w:spacing w:line="360" w:lineRule="auto"/>
        <w:jc w:val="both"/>
        <w:outlineLvl w:val="1"/>
        <w:rPr>
          <w:rFonts w:ascii="宋体" w:hAnsi="宋体" w:eastAsia="宋体"/>
          <w:b/>
          <w:sz w:val="24"/>
        </w:rPr>
      </w:pPr>
      <w:bookmarkStart w:id="6" w:name="_Toc23769778"/>
      <w:r>
        <w:rPr>
          <w:rFonts w:hint="eastAsia" w:ascii="宋体" w:hAnsi="宋体" w:eastAsia="宋体"/>
          <w:b/>
          <w:sz w:val="24"/>
        </w:rPr>
        <w:t>2、</w:t>
      </w:r>
      <w:r>
        <w:rPr>
          <w:rFonts w:ascii="宋体" w:hAnsi="宋体" w:eastAsia="宋体"/>
          <w:b/>
          <w:sz w:val="24"/>
        </w:rPr>
        <w:t>主要内容</w:t>
      </w:r>
      <w:bookmarkEnd w:id="6"/>
    </w:p>
    <w:p>
      <w:pPr>
        <w:pStyle w:val="2"/>
        <w:snapToGrid w:val="0"/>
        <w:spacing w:before="0" w:after="0" w:line="360" w:lineRule="auto"/>
        <w:rPr>
          <w:kern w:val="0"/>
          <w:sz w:val="24"/>
        </w:rPr>
      </w:pPr>
      <w:bookmarkStart w:id="7" w:name="_Toc23769779"/>
      <w:r>
        <w:rPr>
          <w:kern w:val="0"/>
          <w:sz w:val="24"/>
        </w:rPr>
        <w:t>2.1  适用范围</w:t>
      </w:r>
      <w:bookmarkEnd w:id="7"/>
    </w:p>
    <w:p>
      <w:pPr>
        <w:pStyle w:val="14"/>
        <w:snapToGrid w:val="0"/>
        <w:spacing w:line="360" w:lineRule="auto"/>
        <w:ind w:firstLine="480"/>
        <w:rPr>
          <w:rFonts w:ascii="Times New Roman"/>
          <w:sz w:val="24"/>
          <w:szCs w:val="24"/>
        </w:rPr>
      </w:pPr>
      <w:bookmarkStart w:id="8" w:name="_Toc23769780"/>
      <w:r>
        <w:rPr>
          <w:rFonts w:hint="eastAsia" w:ascii="Times New Roman"/>
          <w:sz w:val="24"/>
          <w:szCs w:val="24"/>
        </w:rPr>
        <w:t>本标准规定了人造革合成革生产企业废水处理技术和回用要求。</w:t>
      </w:r>
    </w:p>
    <w:p>
      <w:pPr>
        <w:pStyle w:val="14"/>
        <w:snapToGrid w:val="0"/>
        <w:spacing w:line="360" w:lineRule="auto"/>
        <w:ind w:firstLine="480"/>
        <w:rPr>
          <w:kern w:val="0"/>
          <w:sz w:val="24"/>
        </w:rPr>
      </w:pPr>
      <w:r>
        <w:rPr>
          <w:rFonts w:hint="eastAsia" w:ascii="Times New Roman"/>
          <w:sz w:val="24"/>
          <w:szCs w:val="24"/>
        </w:rPr>
        <w:t>本标准适用于人造革合成革生产企业废水处理及回收利用的管理和控制。</w:t>
      </w:r>
      <w:r>
        <w:rPr>
          <w:rFonts w:ascii="Times New Roman" w:hAnsi="Times New Roman" w:eastAsia="宋体" w:cs="Times New Roman"/>
          <w:b/>
          <w:bCs/>
          <w:kern w:val="0"/>
          <w:sz w:val="24"/>
          <w:szCs w:val="32"/>
        </w:rPr>
        <w:t>2.2  规范性引用文件</w:t>
      </w:r>
      <w:bookmarkEnd w:id="8"/>
    </w:p>
    <w:p>
      <w:pPr>
        <w:pStyle w:val="14"/>
        <w:snapToGrid w:val="0"/>
        <w:spacing w:line="360" w:lineRule="auto"/>
        <w:ind w:firstLine="480"/>
        <w:rPr>
          <w:rFonts w:ascii="Times New Roman"/>
          <w:sz w:val="24"/>
          <w:szCs w:val="24"/>
        </w:rPr>
      </w:pPr>
      <w:r>
        <w:rPr>
          <w:rFonts w:ascii="Times New Roman"/>
          <w:sz w:val="24"/>
          <w:szCs w:val="24"/>
        </w:rPr>
        <w:t>给出了本标准引用的有关文件，凡是不注日期的引用文件，其最新版本适用于本标准。引用文件主要包括相关</w:t>
      </w:r>
      <w:r>
        <w:rPr>
          <w:rFonts w:hint="eastAsia" w:ascii="Times New Roman"/>
          <w:sz w:val="24"/>
          <w:szCs w:val="24"/>
        </w:rPr>
        <w:t>个水质</w:t>
      </w:r>
      <w:r>
        <w:rPr>
          <w:rFonts w:ascii="Times New Roman"/>
          <w:sz w:val="24"/>
          <w:szCs w:val="24"/>
        </w:rPr>
        <w:t>指标的测定方法标准、合成革人造革</w:t>
      </w:r>
      <w:r>
        <w:rPr>
          <w:rFonts w:hint="eastAsia" w:ascii="Times New Roman"/>
          <w:sz w:val="24"/>
          <w:szCs w:val="24"/>
        </w:rPr>
        <w:t>工业</w:t>
      </w:r>
      <w:r>
        <w:rPr>
          <w:rFonts w:ascii="Times New Roman"/>
          <w:sz w:val="24"/>
          <w:szCs w:val="24"/>
        </w:rPr>
        <w:t>污染物排放标准</w:t>
      </w:r>
      <w:r>
        <w:rPr>
          <w:rFonts w:hint="eastAsia" w:ascii="Times New Roman"/>
          <w:sz w:val="24"/>
          <w:szCs w:val="24"/>
        </w:rPr>
        <w:t>、危险废物</w:t>
      </w:r>
      <w:r>
        <w:rPr>
          <w:rFonts w:ascii="Times New Roman"/>
          <w:sz w:val="24"/>
          <w:szCs w:val="24"/>
        </w:rPr>
        <w:t>贮存污染控制标准</w:t>
      </w:r>
      <w:r>
        <w:rPr>
          <w:rFonts w:hint="eastAsia" w:ascii="Times New Roman"/>
          <w:sz w:val="24"/>
          <w:szCs w:val="24"/>
        </w:rPr>
        <w:t>、</w:t>
      </w:r>
      <w:r>
        <w:rPr>
          <w:rFonts w:ascii="Times New Roman"/>
          <w:sz w:val="24"/>
          <w:szCs w:val="24"/>
        </w:rPr>
        <w:t>恶臭污染物排放标准、工业企业厂界噪声排放标准、水污染物</w:t>
      </w:r>
      <w:r>
        <w:rPr>
          <w:rFonts w:hint="eastAsia" w:ascii="Times New Roman"/>
          <w:sz w:val="24"/>
          <w:szCs w:val="24"/>
        </w:rPr>
        <w:t>在线</w:t>
      </w:r>
      <w:r>
        <w:rPr>
          <w:rFonts w:ascii="Times New Roman"/>
          <w:sz w:val="24"/>
          <w:szCs w:val="24"/>
        </w:rPr>
        <w:t>监测</w:t>
      </w:r>
      <w:r>
        <w:rPr>
          <w:rFonts w:hint="eastAsia" w:ascii="Times New Roman"/>
          <w:sz w:val="24"/>
          <w:szCs w:val="24"/>
        </w:rPr>
        <w:t>相关</w:t>
      </w:r>
      <w:r>
        <w:rPr>
          <w:rFonts w:ascii="Times New Roman"/>
          <w:sz w:val="24"/>
          <w:szCs w:val="24"/>
        </w:rPr>
        <w:t>技术要求和行业术语等。</w:t>
      </w:r>
    </w:p>
    <w:p>
      <w:pPr>
        <w:pStyle w:val="2"/>
        <w:snapToGrid w:val="0"/>
        <w:spacing w:before="0" w:after="0" w:line="360" w:lineRule="auto"/>
        <w:rPr>
          <w:kern w:val="0"/>
          <w:sz w:val="24"/>
        </w:rPr>
      </w:pPr>
      <w:bookmarkStart w:id="9" w:name="_Toc23769781"/>
      <w:r>
        <w:rPr>
          <w:kern w:val="0"/>
          <w:sz w:val="24"/>
        </w:rPr>
        <w:t>2.3  术语和定义</w:t>
      </w:r>
      <w:bookmarkEnd w:id="9"/>
    </w:p>
    <w:p>
      <w:pPr>
        <w:snapToGrid w:val="0"/>
        <w:spacing w:line="360" w:lineRule="auto"/>
        <w:ind w:firstLine="480" w:firstLineChars="200"/>
        <w:rPr>
          <w:kern w:val="0"/>
          <w:sz w:val="24"/>
        </w:rPr>
      </w:pPr>
      <w:r>
        <w:rPr>
          <w:kern w:val="0"/>
          <w:sz w:val="24"/>
        </w:rPr>
        <w:t>给出了</w:t>
      </w:r>
      <w:r>
        <w:rPr>
          <w:rFonts w:hint="eastAsia"/>
          <w:kern w:val="0"/>
          <w:sz w:val="24"/>
        </w:rPr>
        <w:t>人造革合成革</w:t>
      </w:r>
      <w:r>
        <w:rPr>
          <w:kern w:val="0"/>
          <w:sz w:val="24"/>
        </w:rPr>
        <w:t>工业废水的定义。在确定</w:t>
      </w:r>
      <w:r>
        <w:rPr>
          <w:rFonts w:hint="eastAsia"/>
          <w:kern w:val="0"/>
          <w:sz w:val="24"/>
        </w:rPr>
        <w:t>合成革与人造革工业污染物排放标准（GB 21902－2008）中</w:t>
      </w:r>
      <w:r>
        <w:rPr>
          <w:kern w:val="0"/>
          <w:sz w:val="24"/>
        </w:rPr>
        <w:t>的有关定义。</w:t>
      </w:r>
    </w:p>
    <w:p>
      <w:pPr>
        <w:pStyle w:val="2"/>
        <w:snapToGrid w:val="0"/>
        <w:spacing w:before="0" w:after="0" w:line="360" w:lineRule="auto"/>
        <w:rPr>
          <w:kern w:val="0"/>
          <w:sz w:val="24"/>
        </w:rPr>
      </w:pPr>
      <w:bookmarkStart w:id="10" w:name="_Toc23769782"/>
      <w:r>
        <w:rPr>
          <w:kern w:val="0"/>
          <w:sz w:val="24"/>
        </w:rPr>
        <w:t xml:space="preserve">2.4  </w:t>
      </w:r>
      <w:bookmarkEnd w:id="10"/>
      <w:r>
        <w:rPr>
          <w:rFonts w:hint="eastAsia"/>
          <w:kern w:val="0"/>
          <w:sz w:val="24"/>
        </w:rPr>
        <w:t>污染物与污染负荷</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企业生产废水主要来源于湿法工艺的工艺废水、超纤工艺中的甲苯抽提和碱减量废水、湿揉工艺废水、水洗式废气净化治理水、DMF精馏废水、冷却塔非定期排水、地面设备等的洗涤水、锅炉废水以及厂区生活污水。</w:t>
      </w:r>
    </w:p>
    <w:p>
      <w:pPr>
        <w:pStyle w:val="14"/>
        <w:ind w:firstLine="422"/>
        <w:jc w:val="center"/>
        <w:rPr>
          <w:b/>
        </w:rPr>
      </w:pPr>
      <w:r>
        <w:rPr>
          <w:rFonts w:hint="eastAsia"/>
          <w:b/>
        </w:rPr>
        <w:t>表1 人造革</w:t>
      </w:r>
      <w:r>
        <w:rPr>
          <w:b/>
        </w:rPr>
        <w:t>合成革废水</w:t>
      </w:r>
      <w:r>
        <w:rPr>
          <w:rFonts w:hint="eastAsia"/>
          <w:b/>
        </w:rPr>
        <w:t>来源和</w:t>
      </w:r>
      <w:r>
        <w:rPr>
          <w:b/>
        </w:rPr>
        <w:t>主要污染物</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013"/>
        <w:gridCol w:w="3024"/>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7" w:type="pct"/>
            <w:vAlign w:val="center"/>
          </w:tcPr>
          <w:p>
            <w:pPr>
              <w:autoSpaceDE w:val="0"/>
              <w:autoSpaceDN w:val="0"/>
              <w:adjustRightInd w:val="0"/>
              <w:jc w:val="center"/>
              <w:rPr>
                <w:kern w:val="0"/>
                <w:sz w:val="18"/>
                <w:szCs w:val="18"/>
              </w:rPr>
            </w:pPr>
            <w:r>
              <w:rPr>
                <w:rFonts w:hint="eastAsia" w:cs="宋体"/>
                <w:kern w:val="0"/>
                <w:sz w:val="18"/>
                <w:szCs w:val="18"/>
              </w:rPr>
              <w:t>序号</w:t>
            </w:r>
          </w:p>
          <w:p>
            <w:pPr>
              <w:autoSpaceDE w:val="0"/>
              <w:autoSpaceDN w:val="0"/>
              <w:adjustRightInd w:val="0"/>
              <w:jc w:val="center"/>
              <w:rPr>
                <w:kern w:val="0"/>
                <w:sz w:val="18"/>
                <w:szCs w:val="18"/>
              </w:rPr>
            </w:pPr>
          </w:p>
        </w:tc>
        <w:tc>
          <w:tcPr>
            <w:tcW w:w="1181" w:type="pct"/>
            <w:vAlign w:val="center"/>
          </w:tcPr>
          <w:p>
            <w:pPr>
              <w:pStyle w:val="7"/>
              <w:autoSpaceDE w:val="0"/>
              <w:autoSpaceDN w:val="0"/>
              <w:adjustRightInd w:val="0"/>
              <w:snapToGrid/>
              <w:spacing w:before="156" w:after="156"/>
              <w:rPr>
                <w:kern w:val="0"/>
              </w:rPr>
            </w:pPr>
            <w:r>
              <w:rPr>
                <w:rFonts w:hint="eastAsia" w:cs="宋体"/>
                <w:kern w:val="0"/>
              </w:rPr>
              <w:t>工艺或流程</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来源</w:t>
            </w:r>
          </w:p>
        </w:tc>
        <w:tc>
          <w:tcPr>
            <w:tcW w:w="1749" w:type="pct"/>
            <w:vAlign w:val="center"/>
          </w:tcPr>
          <w:p>
            <w:pPr>
              <w:autoSpaceDE w:val="0"/>
              <w:autoSpaceDN w:val="0"/>
              <w:adjustRightInd w:val="0"/>
              <w:jc w:val="center"/>
              <w:rPr>
                <w:kern w:val="0"/>
                <w:sz w:val="18"/>
                <w:szCs w:val="18"/>
              </w:rPr>
            </w:pPr>
            <w:r>
              <w:rPr>
                <w:rFonts w:hint="eastAsia" w:cs="宋体"/>
                <w:kern w:val="0"/>
                <w:sz w:val="18"/>
                <w:szCs w:val="18"/>
              </w:rPr>
              <w:t>主要污染指标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1</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湿揉工艺（后处理）</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湿揉、洗涤废水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化学需氧量、色度、有机溶剂、阴离子表面活性剂、悬浮物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2</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湿法工艺</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浸水槽、凝固槽、水洗槽等的工艺废水和清洗水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化学需氧量、二甲基甲酰胺、阴离子表面活性剂、悬浮物、氨氮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3</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超纤：甲苯抽出工艺</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水封水、甲苯回收水</w:t>
            </w:r>
          </w:p>
        </w:tc>
        <w:tc>
          <w:tcPr>
            <w:tcW w:w="1749" w:type="pct"/>
            <w:vAlign w:val="center"/>
          </w:tcPr>
          <w:p>
            <w:pPr>
              <w:autoSpaceDE w:val="0"/>
              <w:autoSpaceDN w:val="0"/>
              <w:adjustRightInd w:val="0"/>
              <w:rPr>
                <w:kern w:val="0"/>
                <w:sz w:val="18"/>
                <w:szCs w:val="18"/>
              </w:rPr>
            </w:pPr>
            <w:r>
              <w:rPr>
                <w:rFonts w:hint="eastAsia" w:cs="宋体"/>
                <w:kern w:val="0"/>
                <w:sz w:val="18"/>
                <w:szCs w:val="18"/>
              </w:rPr>
              <w:t>甲苯、二甲基甲酰胺、化学需氧量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97" w:type="pct"/>
            <w:vAlign w:val="center"/>
          </w:tcPr>
          <w:p>
            <w:pPr>
              <w:autoSpaceDE w:val="0"/>
              <w:autoSpaceDN w:val="0"/>
              <w:adjustRightInd w:val="0"/>
              <w:jc w:val="center"/>
              <w:rPr>
                <w:kern w:val="0"/>
                <w:sz w:val="18"/>
                <w:szCs w:val="18"/>
              </w:rPr>
            </w:pPr>
            <w:r>
              <w:rPr>
                <w:kern w:val="0"/>
                <w:sz w:val="18"/>
                <w:szCs w:val="18"/>
              </w:rPr>
              <w:t>4</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超纤：碱减量工艺</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工艺废水和清洗水</w:t>
            </w:r>
          </w:p>
        </w:tc>
        <w:tc>
          <w:tcPr>
            <w:tcW w:w="1749" w:type="pct"/>
            <w:vAlign w:val="center"/>
          </w:tcPr>
          <w:p>
            <w:pPr>
              <w:autoSpaceDE w:val="0"/>
              <w:autoSpaceDN w:val="0"/>
              <w:adjustRightInd w:val="0"/>
              <w:rPr>
                <w:kern w:val="0"/>
                <w:sz w:val="18"/>
                <w:szCs w:val="18"/>
              </w:rPr>
            </w:pPr>
            <w:r>
              <w:rPr>
                <w:rFonts w:hint="eastAsia" w:cs="宋体"/>
                <w:kern w:val="0"/>
                <w:sz w:val="18"/>
                <w:szCs w:val="18"/>
              </w:rPr>
              <w:t>二甲基甲酰胺、化学需氧量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Align w:val="center"/>
          </w:tcPr>
          <w:p>
            <w:pPr>
              <w:autoSpaceDE w:val="0"/>
              <w:autoSpaceDN w:val="0"/>
              <w:adjustRightInd w:val="0"/>
              <w:jc w:val="center"/>
              <w:rPr>
                <w:kern w:val="0"/>
                <w:sz w:val="18"/>
                <w:szCs w:val="18"/>
              </w:rPr>
            </w:pPr>
            <w:r>
              <w:rPr>
                <w:kern w:val="0"/>
                <w:sz w:val="18"/>
                <w:szCs w:val="18"/>
              </w:rPr>
              <w:t>5</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废气净化治理</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水洗涤式废气净化治理水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化学需氧量、有机溶剂、悬浮物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97" w:type="pct"/>
            <w:vAlign w:val="center"/>
          </w:tcPr>
          <w:p>
            <w:pPr>
              <w:autoSpaceDE w:val="0"/>
              <w:autoSpaceDN w:val="0"/>
              <w:adjustRightInd w:val="0"/>
              <w:jc w:val="center"/>
              <w:rPr>
                <w:kern w:val="0"/>
                <w:sz w:val="18"/>
                <w:szCs w:val="18"/>
              </w:rPr>
            </w:pPr>
            <w:r>
              <w:rPr>
                <w:kern w:val="0"/>
                <w:sz w:val="18"/>
                <w:szCs w:val="18"/>
              </w:rPr>
              <w:t>6</w:t>
            </w:r>
          </w:p>
        </w:tc>
        <w:tc>
          <w:tcPr>
            <w:tcW w:w="1181" w:type="pct"/>
            <w:vAlign w:val="center"/>
          </w:tcPr>
          <w:p>
            <w:pPr>
              <w:autoSpaceDE w:val="0"/>
              <w:autoSpaceDN w:val="0"/>
              <w:adjustRightInd w:val="0"/>
              <w:jc w:val="center"/>
              <w:rPr>
                <w:kern w:val="0"/>
                <w:sz w:val="18"/>
                <w:szCs w:val="18"/>
              </w:rPr>
            </w:pPr>
            <w:r>
              <w:rPr>
                <w:kern w:val="0"/>
                <w:sz w:val="18"/>
                <w:szCs w:val="18"/>
              </w:rPr>
              <w:t>DMF</w:t>
            </w:r>
            <w:r>
              <w:rPr>
                <w:rFonts w:hint="eastAsia" w:cs="宋体"/>
                <w:kern w:val="0"/>
                <w:sz w:val="18"/>
                <w:szCs w:val="18"/>
              </w:rPr>
              <w:t>精馏</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精馏塔的塔顶水、真空泵出水、</w:t>
            </w:r>
            <w:r>
              <w:rPr>
                <w:kern w:val="0"/>
                <w:sz w:val="18"/>
                <w:szCs w:val="18"/>
              </w:rPr>
              <w:t>DMF</w:t>
            </w:r>
            <w:r>
              <w:rPr>
                <w:rFonts w:hint="eastAsia" w:cs="宋体"/>
                <w:kern w:val="0"/>
                <w:sz w:val="18"/>
                <w:szCs w:val="18"/>
              </w:rPr>
              <w:t>回收废水储罐（池）的非定期排放、清洗水</w:t>
            </w:r>
          </w:p>
        </w:tc>
        <w:tc>
          <w:tcPr>
            <w:tcW w:w="1749" w:type="pct"/>
            <w:vAlign w:val="center"/>
          </w:tcPr>
          <w:p>
            <w:pPr>
              <w:autoSpaceDE w:val="0"/>
              <w:autoSpaceDN w:val="0"/>
              <w:adjustRightInd w:val="0"/>
              <w:rPr>
                <w:kern w:val="0"/>
                <w:sz w:val="18"/>
                <w:szCs w:val="18"/>
              </w:rPr>
            </w:pPr>
            <w:r>
              <w:rPr>
                <w:rFonts w:hint="eastAsia" w:cs="宋体"/>
                <w:kern w:val="0"/>
                <w:sz w:val="18"/>
                <w:szCs w:val="18"/>
              </w:rPr>
              <w:t>二甲基甲酰胺、悬浮物、化学需氧量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7</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冷却塔废水</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冷却水的非定期排放</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8</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清洗</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地面冲洗水、容器洗涤水、设备洗涤水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化学需氧量、有机溶剂、悬浮物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7" w:type="pct"/>
            <w:vAlign w:val="center"/>
          </w:tcPr>
          <w:p>
            <w:pPr>
              <w:autoSpaceDE w:val="0"/>
              <w:autoSpaceDN w:val="0"/>
              <w:adjustRightInd w:val="0"/>
              <w:jc w:val="center"/>
              <w:rPr>
                <w:kern w:val="0"/>
                <w:sz w:val="18"/>
                <w:szCs w:val="18"/>
              </w:rPr>
            </w:pPr>
            <w:r>
              <w:rPr>
                <w:kern w:val="0"/>
                <w:sz w:val="18"/>
                <w:szCs w:val="18"/>
              </w:rPr>
              <w:t>9</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锅炉废水</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锅炉废气治理废水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Align w:val="center"/>
          </w:tcPr>
          <w:p>
            <w:pPr>
              <w:autoSpaceDE w:val="0"/>
              <w:autoSpaceDN w:val="0"/>
              <w:adjustRightInd w:val="0"/>
              <w:jc w:val="center"/>
              <w:rPr>
                <w:kern w:val="0"/>
                <w:sz w:val="18"/>
                <w:szCs w:val="18"/>
              </w:rPr>
            </w:pPr>
            <w:r>
              <w:rPr>
                <w:kern w:val="0"/>
                <w:sz w:val="18"/>
                <w:szCs w:val="18"/>
              </w:rPr>
              <w:t>10</w:t>
            </w:r>
          </w:p>
        </w:tc>
        <w:tc>
          <w:tcPr>
            <w:tcW w:w="1181" w:type="pct"/>
            <w:vAlign w:val="center"/>
          </w:tcPr>
          <w:p>
            <w:pPr>
              <w:autoSpaceDE w:val="0"/>
              <w:autoSpaceDN w:val="0"/>
              <w:adjustRightInd w:val="0"/>
              <w:jc w:val="center"/>
              <w:rPr>
                <w:kern w:val="0"/>
                <w:sz w:val="18"/>
                <w:szCs w:val="18"/>
              </w:rPr>
            </w:pPr>
            <w:r>
              <w:rPr>
                <w:rFonts w:hint="eastAsia" w:cs="宋体"/>
                <w:kern w:val="0"/>
                <w:sz w:val="18"/>
                <w:szCs w:val="18"/>
              </w:rPr>
              <w:t>生活废水</w:t>
            </w:r>
          </w:p>
        </w:tc>
        <w:tc>
          <w:tcPr>
            <w:tcW w:w="1774" w:type="pct"/>
            <w:vAlign w:val="center"/>
          </w:tcPr>
          <w:p>
            <w:pPr>
              <w:autoSpaceDE w:val="0"/>
              <w:autoSpaceDN w:val="0"/>
              <w:adjustRightInd w:val="0"/>
              <w:jc w:val="center"/>
              <w:rPr>
                <w:kern w:val="0"/>
                <w:sz w:val="18"/>
                <w:szCs w:val="18"/>
              </w:rPr>
            </w:pPr>
            <w:r>
              <w:rPr>
                <w:rFonts w:hint="eastAsia" w:cs="宋体"/>
                <w:kern w:val="0"/>
                <w:sz w:val="18"/>
                <w:szCs w:val="18"/>
              </w:rPr>
              <w:t>员工生活废水</w:t>
            </w:r>
          </w:p>
        </w:tc>
        <w:tc>
          <w:tcPr>
            <w:tcW w:w="1749" w:type="pct"/>
            <w:vAlign w:val="center"/>
          </w:tcPr>
          <w:p>
            <w:pPr>
              <w:autoSpaceDE w:val="0"/>
              <w:autoSpaceDN w:val="0"/>
              <w:adjustRightInd w:val="0"/>
              <w:rPr>
                <w:kern w:val="0"/>
                <w:sz w:val="18"/>
                <w:szCs w:val="18"/>
              </w:rPr>
            </w:pPr>
            <w:r>
              <w:rPr>
                <w:rFonts w:hint="eastAsia" w:cs="宋体"/>
                <w:kern w:val="0"/>
                <w:sz w:val="18"/>
                <w:szCs w:val="18"/>
              </w:rPr>
              <w:t>化学需氧量、悬浮物、氨氮</w:t>
            </w:r>
          </w:p>
        </w:tc>
      </w:tr>
    </w:tbl>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新建人造革</w:t>
      </w:r>
      <w:r>
        <w:rPr>
          <w:rFonts w:ascii="宋体" w:hAnsi="宋体"/>
          <w:kern w:val="0"/>
          <w:sz w:val="24"/>
        </w:rPr>
        <w:t>合成革企业</w:t>
      </w:r>
      <w:r>
        <w:rPr>
          <w:rFonts w:hint="eastAsia" w:ascii="宋体" w:hAnsi="宋体"/>
          <w:kern w:val="0"/>
          <w:sz w:val="24"/>
        </w:rPr>
        <w:t>生产</w:t>
      </w:r>
      <w:r>
        <w:rPr>
          <w:rFonts w:ascii="宋体" w:hAnsi="宋体"/>
          <w:kern w:val="0"/>
          <w:sz w:val="24"/>
        </w:rPr>
        <w:t>各工序废水产生量</w:t>
      </w:r>
      <w:r>
        <w:rPr>
          <w:rFonts w:hint="eastAsia" w:ascii="宋体" w:hAnsi="宋体"/>
          <w:kern w:val="0"/>
          <w:sz w:val="24"/>
        </w:rPr>
        <w:t>通过</w:t>
      </w:r>
      <w:r>
        <w:rPr>
          <w:rFonts w:ascii="宋体" w:hAnsi="宋体"/>
          <w:kern w:val="0"/>
          <w:sz w:val="24"/>
        </w:rPr>
        <w:t>水量水质平衡类比验证</w:t>
      </w:r>
      <w:r>
        <w:rPr>
          <w:rFonts w:hint="eastAsia" w:ascii="宋体" w:hAnsi="宋体"/>
          <w:kern w:val="0"/>
          <w:sz w:val="24"/>
        </w:rPr>
        <w:t>确定。</w:t>
      </w:r>
      <w:r>
        <w:rPr>
          <w:rFonts w:ascii="宋体" w:hAnsi="宋体"/>
          <w:kern w:val="0"/>
          <w:sz w:val="24"/>
        </w:rPr>
        <w:t>改、扩建人造革合成革企业应该按照</w:t>
      </w:r>
      <w:r>
        <w:rPr>
          <w:rFonts w:hint="eastAsia" w:ascii="宋体" w:hAnsi="宋体"/>
          <w:kern w:val="0"/>
          <w:sz w:val="24"/>
        </w:rPr>
        <w:t>各</w:t>
      </w:r>
      <w:r>
        <w:rPr>
          <w:rFonts w:ascii="宋体" w:hAnsi="宋体"/>
          <w:kern w:val="0"/>
          <w:sz w:val="24"/>
        </w:rPr>
        <w:t>生产工序给排水系统</w:t>
      </w:r>
      <w:r>
        <w:rPr>
          <w:rFonts w:hint="eastAsia" w:ascii="宋体" w:hAnsi="宋体"/>
          <w:kern w:val="0"/>
          <w:sz w:val="24"/>
        </w:rPr>
        <w:t>中设置</w:t>
      </w:r>
      <w:r>
        <w:rPr>
          <w:rFonts w:ascii="宋体" w:hAnsi="宋体"/>
          <w:kern w:val="0"/>
          <w:sz w:val="24"/>
        </w:rPr>
        <w:t>的仪表实测数据确定</w:t>
      </w:r>
      <w:r>
        <w:rPr>
          <w:rFonts w:hint="eastAsia" w:ascii="宋体" w:hAnsi="宋体"/>
          <w:kern w:val="0"/>
          <w:sz w:val="24"/>
        </w:rPr>
        <w:t>，</w:t>
      </w:r>
      <w:r>
        <w:rPr>
          <w:rFonts w:ascii="宋体" w:hAnsi="宋体"/>
          <w:kern w:val="0"/>
          <w:sz w:val="24"/>
        </w:rPr>
        <w:t>无</w:t>
      </w:r>
      <w:r>
        <w:rPr>
          <w:rFonts w:hint="eastAsia" w:ascii="宋体" w:hAnsi="宋体"/>
          <w:kern w:val="0"/>
          <w:sz w:val="24"/>
        </w:rPr>
        <w:t>仪表</w:t>
      </w:r>
      <w:r>
        <w:rPr>
          <w:rFonts w:ascii="宋体" w:hAnsi="宋体"/>
          <w:kern w:val="0"/>
          <w:sz w:val="24"/>
        </w:rPr>
        <w:t>测量时，</w:t>
      </w:r>
      <w:r>
        <w:rPr>
          <w:rFonts w:hint="eastAsia" w:ascii="宋体" w:hAnsi="宋体"/>
          <w:kern w:val="0"/>
          <w:sz w:val="24"/>
        </w:rPr>
        <w:t>可</w:t>
      </w:r>
      <w:r>
        <w:rPr>
          <w:rFonts w:ascii="宋体" w:hAnsi="宋体"/>
          <w:kern w:val="0"/>
          <w:sz w:val="24"/>
        </w:rPr>
        <w:t>根据类似产品品种、生产工艺、生产规模、工作制度和管理水平的企业类别确定。</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w:t>
      </w:r>
      <w:r>
        <w:rPr>
          <w:rFonts w:ascii="宋体" w:hAnsi="宋体"/>
          <w:kern w:val="0"/>
          <w:sz w:val="24"/>
        </w:rPr>
        <w:t>合成革企业末端</w:t>
      </w:r>
      <w:r>
        <w:rPr>
          <w:rFonts w:hint="eastAsia" w:ascii="宋体" w:hAnsi="宋体"/>
          <w:kern w:val="0"/>
          <w:sz w:val="24"/>
        </w:rPr>
        <w:t>污水</w:t>
      </w:r>
      <w:r>
        <w:rPr>
          <w:rFonts w:ascii="宋体" w:hAnsi="宋体"/>
          <w:kern w:val="0"/>
          <w:sz w:val="24"/>
        </w:rPr>
        <w:t>处理站</w:t>
      </w:r>
      <w:r>
        <w:rPr>
          <w:rFonts w:hint="eastAsia" w:ascii="宋体" w:hAnsi="宋体"/>
          <w:kern w:val="0"/>
          <w:sz w:val="24"/>
        </w:rPr>
        <w:t>进水量</w:t>
      </w:r>
      <w:r>
        <w:rPr>
          <w:rFonts w:ascii="宋体" w:hAnsi="宋体"/>
          <w:kern w:val="0"/>
          <w:sz w:val="24"/>
        </w:rPr>
        <w:t>应为</w:t>
      </w:r>
      <w:r>
        <w:rPr>
          <w:rFonts w:hint="eastAsia" w:ascii="宋体" w:hAnsi="宋体"/>
          <w:kern w:val="0"/>
          <w:sz w:val="24"/>
        </w:rPr>
        <w:t>各</w:t>
      </w:r>
      <w:r>
        <w:rPr>
          <w:rFonts w:ascii="宋体" w:hAnsi="宋体"/>
          <w:kern w:val="0"/>
          <w:sz w:val="24"/>
        </w:rPr>
        <w:t>排水管排水量之和。各</w:t>
      </w:r>
      <w:r>
        <w:rPr>
          <w:rFonts w:hint="eastAsia" w:ascii="宋体" w:hAnsi="宋体"/>
          <w:kern w:val="0"/>
          <w:sz w:val="24"/>
        </w:rPr>
        <w:t>生产</w:t>
      </w:r>
      <w:r>
        <w:rPr>
          <w:rFonts w:ascii="宋体" w:hAnsi="宋体"/>
          <w:kern w:val="0"/>
          <w:sz w:val="24"/>
        </w:rPr>
        <w:t>工序的污染负荷可按照相应生产单元的废水排放量及污染物浓度见估算，综合废水的污染负荷根据现场连续取样测定或根据排水系统水量水质进行估算。</w:t>
      </w:r>
    </w:p>
    <w:p>
      <w:pPr>
        <w:pStyle w:val="2"/>
        <w:snapToGrid w:val="0"/>
        <w:spacing w:before="0" w:after="0" w:line="360" w:lineRule="auto"/>
        <w:rPr>
          <w:kern w:val="0"/>
          <w:sz w:val="24"/>
        </w:rPr>
      </w:pPr>
      <w:bookmarkStart w:id="11" w:name="_Toc23769785"/>
      <w:r>
        <w:rPr>
          <w:kern w:val="0"/>
          <w:sz w:val="24"/>
        </w:rPr>
        <w:t xml:space="preserve">2.5 </w:t>
      </w:r>
      <w:bookmarkEnd w:id="11"/>
      <w:r>
        <w:rPr>
          <w:rFonts w:hint="eastAsia"/>
          <w:kern w:val="0"/>
          <w:sz w:val="24"/>
        </w:rPr>
        <w:t>总体要求</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废水处理及回用技术除遵守本标准外，还应符合国家现行有关标准和规范的规定。人造革合成革企业应按照“雨污分流系统、清污分流系统”的原则，进行厂区内的给排水管线设计。人造革合成革企业应该按照清洁生产的原则，实行全过程控制，并执行在生产工序用水源头采用减少或消除污染物进入水中的技术。未经处理的废水不应外排或回用。尽量从源头减少废水的产生量，提高水回收利用率。</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企业应加强各类废水的处理和回用，生产废水尽可能在生产单元内部进行循环利用，或在各单元之间进行循环利用，减少进入末端污水处理站的废水量。人造革合成革企业生产废水管线和处理设施应该设置防渗措施，防止有害污染物进入地下水，生产区和废水处理去的初期雨水应收集并进行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废水处理及回用技术应与生产工艺合理配套，并采用处理效率高、安全可靠的工艺。人造革合成革工业废水处理及回用技术应设置相关的检测措施，以确保废水处理系统安全可靠，连续稳定运行，并达到回用水的水质要求。</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新建人造革合成革企业清洁生产应达到HJ499中的二级水平及以上。</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包含布局相近的多个人造革合成革企业的园区，其废水末端治理，应统筹协调单个企业内部污水处理站和二级集中污水处理厂的水质水量，合理有效进行废水末端处理。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人造革合成革废水末端处理过程中，应配套建设适当的二次污染预防措施，保证污泥、恶臭、噪声等污染物排放满足GB 14554和GB 12348等相关环保标准的要求。</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应按照《排污口规范化技术要求（试行）》的规定建设废水排放口，设置符合GB/T 15662.1要求的废水排放口标志，并按照《污染源自动监控管理办法》的规定安装污染物排放连续监测设备，连续在线监测系统应采用符合HJ/T 15、HJ/T 96、HJ/T 101、HJ/T 377等规定的监测仪器、运行和数据传输应执行HJ/T 355和HJ/T 212的规定。</w:t>
      </w:r>
    </w:p>
    <w:p>
      <w:pPr>
        <w:pStyle w:val="2"/>
        <w:snapToGrid w:val="0"/>
        <w:spacing w:before="0" w:after="0" w:line="360" w:lineRule="auto"/>
        <w:rPr>
          <w:kern w:val="0"/>
          <w:sz w:val="24"/>
        </w:rPr>
      </w:pPr>
      <w:r>
        <w:rPr>
          <w:rFonts w:hint="eastAsia"/>
          <w:kern w:val="0"/>
          <w:sz w:val="24"/>
        </w:rPr>
        <w:t>2.6 工艺</w:t>
      </w:r>
      <w:r>
        <w:rPr>
          <w:kern w:val="0"/>
          <w:sz w:val="24"/>
        </w:rPr>
        <w:t>技术要求</w:t>
      </w:r>
    </w:p>
    <w:p>
      <w:pPr>
        <w:pStyle w:val="2"/>
        <w:snapToGrid w:val="0"/>
        <w:spacing w:before="0" w:after="0" w:line="360" w:lineRule="auto"/>
        <w:rPr>
          <w:kern w:val="0"/>
          <w:sz w:val="24"/>
        </w:rPr>
      </w:pPr>
      <w:r>
        <w:rPr>
          <w:rFonts w:hint="eastAsia"/>
          <w:kern w:val="0"/>
          <w:sz w:val="24"/>
        </w:rPr>
        <w:t>2.6.1 一般</w:t>
      </w:r>
      <w:r>
        <w:rPr>
          <w:kern w:val="0"/>
          <w:sz w:val="24"/>
        </w:rPr>
        <w:t>规定</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w:t>
      </w:r>
      <w:r>
        <w:rPr>
          <w:rFonts w:ascii="宋体" w:hAnsi="宋体"/>
          <w:kern w:val="0"/>
          <w:sz w:val="24"/>
        </w:rPr>
        <w:t>标准规定了废水处理和回用工艺的选择原则，新建企业废水处理</w:t>
      </w:r>
      <w:r>
        <w:rPr>
          <w:rFonts w:hint="eastAsia" w:ascii="宋体" w:hAnsi="宋体"/>
          <w:kern w:val="0"/>
          <w:sz w:val="24"/>
        </w:rPr>
        <w:t>工程</w:t>
      </w:r>
      <w:r>
        <w:rPr>
          <w:rFonts w:ascii="宋体" w:hAnsi="宋体"/>
          <w:kern w:val="0"/>
          <w:sz w:val="24"/>
        </w:rPr>
        <w:t>需要执行三同时制度，</w:t>
      </w:r>
      <w:r>
        <w:rPr>
          <w:rFonts w:hint="eastAsia" w:ascii="宋体" w:hAnsi="宋体"/>
          <w:kern w:val="0"/>
          <w:sz w:val="24"/>
        </w:rPr>
        <w:t>废水</w:t>
      </w:r>
      <w:r>
        <w:rPr>
          <w:rFonts w:ascii="宋体" w:hAnsi="宋体"/>
          <w:kern w:val="0"/>
          <w:sz w:val="24"/>
        </w:rPr>
        <w:t>处理各工段应考虑检修、清洗和</w:t>
      </w:r>
      <w:r>
        <w:rPr>
          <w:rFonts w:hint="eastAsia" w:ascii="宋体" w:hAnsi="宋体"/>
          <w:kern w:val="0"/>
          <w:sz w:val="24"/>
        </w:rPr>
        <w:t>事故</w:t>
      </w:r>
      <w:r>
        <w:rPr>
          <w:rFonts w:ascii="宋体" w:hAnsi="宋体"/>
          <w:kern w:val="0"/>
          <w:sz w:val="24"/>
        </w:rPr>
        <w:t>时的废水去向。</w:t>
      </w:r>
    </w:p>
    <w:p>
      <w:pPr>
        <w:pStyle w:val="2"/>
        <w:snapToGrid w:val="0"/>
        <w:spacing w:before="0" w:after="0" w:line="360" w:lineRule="auto"/>
        <w:rPr>
          <w:kern w:val="0"/>
          <w:sz w:val="24"/>
        </w:rPr>
      </w:pPr>
      <w:r>
        <w:rPr>
          <w:kern w:val="0"/>
          <w:sz w:val="24"/>
        </w:rPr>
        <w:t xml:space="preserve">2.6.2 </w:t>
      </w:r>
      <w:r>
        <w:rPr>
          <w:rFonts w:hint="eastAsia"/>
          <w:kern w:val="0"/>
          <w:sz w:val="24"/>
        </w:rPr>
        <w:t>各</w:t>
      </w:r>
      <w:r>
        <w:rPr>
          <w:kern w:val="0"/>
          <w:sz w:val="24"/>
        </w:rPr>
        <w:t>处理</w:t>
      </w:r>
      <w:r>
        <w:rPr>
          <w:rFonts w:hint="eastAsia"/>
          <w:kern w:val="0"/>
          <w:sz w:val="24"/>
        </w:rPr>
        <w:t>单元</w:t>
      </w:r>
      <w:r>
        <w:rPr>
          <w:kern w:val="0"/>
          <w:sz w:val="24"/>
        </w:rPr>
        <w:t>废水处理回用工艺流程</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w:t>
      </w:r>
      <w:r>
        <w:rPr>
          <w:rFonts w:ascii="宋体" w:hAnsi="宋体"/>
          <w:kern w:val="0"/>
          <w:sz w:val="24"/>
        </w:rPr>
        <w:t>标准规定了湿法工艺凝固槽</w:t>
      </w:r>
      <w:r>
        <w:rPr>
          <w:rFonts w:hint="eastAsia" w:ascii="宋体" w:hAnsi="宋体"/>
          <w:kern w:val="0"/>
          <w:sz w:val="24"/>
        </w:rPr>
        <w:t>工艺</w:t>
      </w:r>
      <w:r>
        <w:rPr>
          <w:rFonts w:ascii="宋体" w:hAnsi="宋体"/>
          <w:kern w:val="0"/>
          <w:sz w:val="24"/>
        </w:rPr>
        <w:t>废水、超纤生产中的含浸</w:t>
      </w:r>
      <w:r>
        <w:rPr>
          <w:rFonts w:hint="eastAsia" w:ascii="宋体" w:hAnsi="宋体"/>
          <w:kern w:val="0"/>
          <w:sz w:val="24"/>
        </w:rPr>
        <w:t>工艺</w:t>
      </w:r>
      <w:r>
        <w:rPr>
          <w:rFonts w:ascii="宋体" w:hAnsi="宋体"/>
          <w:kern w:val="0"/>
          <w:sz w:val="24"/>
        </w:rPr>
        <w:t>废水、</w:t>
      </w:r>
      <w:r>
        <w:rPr>
          <w:rFonts w:hint="eastAsia" w:ascii="宋体" w:hAnsi="宋体"/>
          <w:kern w:val="0"/>
          <w:sz w:val="24"/>
        </w:rPr>
        <w:t>干法</w:t>
      </w:r>
      <w:r>
        <w:rPr>
          <w:rFonts w:ascii="宋体" w:hAnsi="宋体"/>
          <w:kern w:val="0"/>
          <w:sz w:val="24"/>
        </w:rPr>
        <w:t>工艺废气净化治理设施废水</w:t>
      </w:r>
      <w:r>
        <w:rPr>
          <w:rFonts w:hint="eastAsia" w:ascii="宋体" w:hAnsi="宋体"/>
          <w:kern w:val="0"/>
          <w:sz w:val="24"/>
        </w:rPr>
        <w:t>、</w:t>
      </w:r>
      <w:r>
        <w:rPr>
          <w:rFonts w:ascii="宋体" w:hAnsi="宋体"/>
          <w:kern w:val="0"/>
          <w:sz w:val="24"/>
        </w:rPr>
        <w:t>料桶清洗水</w:t>
      </w:r>
      <w:r>
        <w:rPr>
          <w:rFonts w:hint="eastAsia" w:ascii="宋体" w:hAnsi="宋体"/>
          <w:kern w:val="0"/>
          <w:sz w:val="24"/>
        </w:rPr>
        <w:t>均</w:t>
      </w:r>
      <w:r>
        <w:rPr>
          <w:rFonts w:ascii="宋体" w:hAnsi="宋体"/>
          <w:kern w:val="0"/>
          <w:sz w:val="24"/>
        </w:rPr>
        <w:t>应进行回收并</w:t>
      </w:r>
      <w:r>
        <w:rPr>
          <w:rFonts w:hint="eastAsia" w:ascii="宋体" w:hAnsi="宋体"/>
          <w:kern w:val="0"/>
          <w:sz w:val="24"/>
        </w:rPr>
        <w:t>进入DMF精馏</w:t>
      </w:r>
      <w:r>
        <w:rPr>
          <w:rFonts w:ascii="宋体" w:hAnsi="宋体"/>
          <w:kern w:val="0"/>
          <w:sz w:val="24"/>
        </w:rPr>
        <w:t>塔，回收废水中的</w:t>
      </w:r>
      <w:r>
        <w:rPr>
          <w:rFonts w:hint="eastAsia" w:ascii="宋体" w:hAnsi="宋体"/>
          <w:kern w:val="0"/>
          <w:sz w:val="24"/>
        </w:rPr>
        <w:t>DMF，</w:t>
      </w:r>
      <w:r>
        <w:rPr>
          <w:rFonts w:ascii="宋体" w:hAnsi="宋体"/>
          <w:kern w:val="0"/>
          <w:sz w:val="24"/>
        </w:rPr>
        <w:t>这</w:t>
      </w:r>
      <w:r>
        <w:rPr>
          <w:rFonts w:hint="eastAsia" w:ascii="宋体" w:hAnsi="宋体"/>
          <w:kern w:val="0"/>
          <w:sz w:val="24"/>
        </w:rPr>
        <w:t>几</w:t>
      </w:r>
      <w:r>
        <w:rPr>
          <w:rFonts w:ascii="宋体" w:hAnsi="宋体"/>
          <w:kern w:val="0"/>
          <w:sz w:val="24"/>
        </w:rPr>
        <w:t>部分废水的回收率要达到</w:t>
      </w:r>
      <w:r>
        <w:rPr>
          <w:rFonts w:hint="eastAsia" w:ascii="宋体" w:hAnsi="宋体"/>
          <w:kern w:val="0"/>
          <w:sz w:val="24"/>
        </w:rPr>
        <w:t>100</w:t>
      </w:r>
      <w:r>
        <w:rPr>
          <w:rFonts w:ascii="宋体" w:hAnsi="宋体"/>
          <w:kern w:val="0"/>
          <w:sz w:val="24"/>
        </w:rPr>
        <w:t>%。</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w:t>
      </w:r>
      <w:r>
        <w:rPr>
          <w:rFonts w:ascii="宋体" w:hAnsi="宋体"/>
          <w:kern w:val="0"/>
          <w:sz w:val="24"/>
        </w:rPr>
        <w:t>标准规定了</w:t>
      </w:r>
      <w:r>
        <w:rPr>
          <w:rFonts w:hint="eastAsia" w:ascii="宋体" w:hAnsi="宋体"/>
          <w:kern w:val="0"/>
          <w:sz w:val="24"/>
        </w:rPr>
        <w:t>湿法</w:t>
      </w:r>
      <w:r>
        <w:rPr>
          <w:rFonts w:ascii="宋体" w:hAnsi="宋体"/>
          <w:kern w:val="0"/>
          <w:sz w:val="24"/>
        </w:rPr>
        <w:t>工艺水洗槽废水、湿法废气净化设施废水</w:t>
      </w:r>
      <w:r>
        <w:rPr>
          <w:rFonts w:hint="eastAsia" w:ascii="宋体" w:hAnsi="宋体"/>
          <w:kern w:val="0"/>
          <w:sz w:val="24"/>
        </w:rPr>
        <w:t>、DMF精馏塔</w:t>
      </w:r>
      <w:r>
        <w:rPr>
          <w:rFonts w:ascii="宋体" w:hAnsi="宋体"/>
          <w:kern w:val="0"/>
          <w:sz w:val="24"/>
        </w:rPr>
        <w:t>塔顶水</w:t>
      </w:r>
      <w:r>
        <w:rPr>
          <w:rFonts w:hint="eastAsia" w:ascii="宋体" w:hAnsi="宋体"/>
          <w:kern w:val="0"/>
          <w:sz w:val="24"/>
        </w:rPr>
        <w:t>作为</w:t>
      </w:r>
      <w:r>
        <w:rPr>
          <w:rFonts w:ascii="宋体" w:hAnsi="宋体"/>
          <w:kern w:val="0"/>
          <w:sz w:val="24"/>
        </w:rPr>
        <w:t>湿法工艺凝固槽或超纤工艺含浸槽</w:t>
      </w:r>
      <w:r>
        <w:rPr>
          <w:rFonts w:hint="eastAsia" w:ascii="宋体" w:hAnsi="宋体"/>
          <w:kern w:val="0"/>
          <w:sz w:val="24"/>
        </w:rPr>
        <w:t>的</w:t>
      </w:r>
      <w:r>
        <w:rPr>
          <w:rFonts w:ascii="宋体" w:hAnsi="宋体"/>
          <w:kern w:val="0"/>
          <w:sz w:val="24"/>
        </w:rPr>
        <w:t>补充水源，其回用量根据企业实际生产</w:t>
      </w:r>
      <w:r>
        <w:rPr>
          <w:rFonts w:hint="eastAsia" w:ascii="宋体" w:hAnsi="宋体"/>
          <w:kern w:val="0"/>
          <w:sz w:val="24"/>
        </w:rPr>
        <w:t>用水量</w:t>
      </w:r>
      <w:r>
        <w:rPr>
          <w:rFonts w:ascii="宋体" w:hAnsi="宋体"/>
          <w:kern w:val="0"/>
          <w:sz w:val="24"/>
        </w:rPr>
        <w:t>进行设定，其中的塔顶水回收利用量需要</w:t>
      </w:r>
      <w:r>
        <w:rPr>
          <w:rFonts w:hint="eastAsia" w:ascii="宋体" w:hAnsi="宋体"/>
          <w:kern w:val="0"/>
          <w:sz w:val="24"/>
        </w:rPr>
        <w:t>≥30</w:t>
      </w:r>
      <w:r>
        <w:rPr>
          <w:rFonts w:ascii="宋体" w:hAnsi="宋体"/>
          <w:kern w:val="0"/>
          <w:sz w:val="24"/>
        </w:rPr>
        <w:t>%。对于</w:t>
      </w:r>
      <w:r>
        <w:rPr>
          <w:rFonts w:hint="eastAsia" w:ascii="宋体" w:hAnsi="宋体"/>
          <w:kern w:val="0"/>
          <w:sz w:val="24"/>
        </w:rPr>
        <w:t>不能回收</w:t>
      </w:r>
      <w:r>
        <w:rPr>
          <w:rFonts w:ascii="宋体" w:hAnsi="宋体"/>
          <w:kern w:val="0"/>
          <w:sz w:val="24"/>
        </w:rPr>
        <w:t>利用的部分，需要</w:t>
      </w:r>
      <w:r>
        <w:rPr>
          <w:rFonts w:hint="eastAsia" w:ascii="宋体" w:hAnsi="宋体"/>
          <w:kern w:val="0"/>
          <w:sz w:val="24"/>
        </w:rPr>
        <w:t>进行</w:t>
      </w:r>
      <w:r>
        <w:rPr>
          <w:rFonts w:ascii="宋体" w:hAnsi="宋体"/>
          <w:kern w:val="0"/>
          <w:sz w:val="24"/>
        </w:rPr>
        <w:t>预处理，冷却并去除其中的二甲胺后，</w:t>
      </w:r>
      <w:r>
        <w:rPr>
          <w:rFonts w:hint="eastAsia" w:ascii="宋体" w:hAnsi="宋体"/>
          <w:kern w:val="0"/>
          <w:sz w:val="24"/>
        </w:rPr>
        <w:t>进入</w:t>
      </w:r>
      <w:r>
        <w:rPr>
          <w:rFonts w:ascii="宋体" w:hAnsi="宋体"/>
          <w:kern w:val="0"/>
          <w:sz w:val="24"/>
        </w:rPr>
        <w:t>后续污水处理设施进行处理。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w:t>
      </w:r>
      <w:r>
        <w:rPr>
          <w:rFonts w:ascii="宋体" w:hAnsi="宋体"/>
          <w:kern w:val="0"/>
          <w:sz w:val="24"/>
        </w:rPr>
        <w:t>标准规定了洗塔水、洗槽水</w:t>
      </w:r>
      <w:r>
        <w:rPr>
          <w:rFonts w:hint="eastAsia" w:ascii="宋体" w:hAnsi="宋体"/>
          <w:kern w:val="0"/>
          <w:sz w:val="24"/>
        </w:rPr>
        <w:t>等污染物</w:t>
      </w:r>
      <w:r>
        <w:rPr>
          <w:rFonts w:ascii="宋体" w:hAnsi="宋体"/>
          <w:kern w:val="0"/>
          <w:sz w:val="24"/>
        </w:rPr>
        <w:t>浓度</w:t>
      </w:r>
      <w:r>
        <w:rPr>
          <w:rFonts w:hint="eastAsia" w:ascii="宋体" w:hAnsi="宋体"/>
          <w:kern w:val="0"/>
          <w:sz w:val="24"/>
        </w:rPr>
        <w:t>相对</w:t>
      </w:r>
      <w:r>
        <w:rPr>
          <w:rFonts w:ascii="宋体" w:hAnsi="宋体"/>
          <w:kern w:val="0"/>
          <w:sz w:val="24"/>
        </w:rPr>
        <w:t>较高的废水，需要进入高浓度废水调节池，</w:t>
      </w:r>
      <w:r>
        <w:rPr>
          <w:rFonts w:hint="eastAsia" w:ascii="宋体" w:hAnsi="宋体"/>
          <w:kern w:val="0"/>
          <w:sz w:val="24"/>
        </w:rPr>
        <w:t>针对</w:t>
      </w:r>
      <w:r>
        <w:rPr>
          <w:rFonts w:ascii="宋体" w:hAnsi="宋体"/>
          <w:kern w:val="0"/>
          <w:sz w:val="24"/>
        </w:rPr>
        <w:t>其水质进行相应的预处理后，在进入后续污水处理设施进行处理。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w:t>
      </w:r>
      <w:r>
        <w:rPr>
          <w:rFonts w:ascii="宋体" w:hAnsi="宋体"/>
          <w:kern w:val="0"/>
          <w:sz w:val="24"/>
        </w:rPr>
        <w:t>标准规定了</w:t>
      </w:r>
      <w:r>
        <w:rPr>
          <w:rFonts w:hint="eastAsia" w:ascii="宋体" w:hAnsi="宋体"/>
          <w:kern w:val="0"/>
          <w:sz w:val="24"/>
        </w:rPr>
        <w:t>企业</w:t>
      </w:r>
      <w:r>
        <w:rPr>
          <w:rFonts w:ascii="宋体" w:hAnsi="宋体"/>
          <w:kern w:val="0"/>
          <w:sz w:val="24"/>
        </w:rPr>
        <w:t>冷却</w:t>
      </w:r>
      <w:r>
        <w:rPr>
          <w:rFonts w:hint="eastAsia" w:ascii="宋体" w:hAnsi="宋体"/>
          <w:kern w:val="0"/>
          <w:sz w:val="24"/>
        </w:rPr>
        <w:t>循环水排水</w:t>
      </w:r>
      <w:r>
        <w:rPr>
          <w:rFonts w:ascii="宋体" w:hAnsi="宋体"/>
          <w:kern w:val="0"/>
          <w:sz w:val="24"/>
        </w:rPr>
        <w:t>、生活废水</w:t>
      </w:r>
      <w:r>
        <w:rPr>
          <w:rFonts w:hint="eastAsia" w:ascii="宋体" w:hAnsi="宋体"/>
          <w:kern w:val="0"/>
          <w:sz w:val="24"/>
        </w:rPr>
        <w:t>可</w:t>
      </w:r>
      <w:r>
        <w:rPr>
          <w:rFonts w:ascii="宋体" w:hAnsi="宋体"/>
          <w:kern w:val="0"/>
          <w:sz w:val="24"/>
        </w:rPr>
        <w:t>直接进入污水处理设施或相应的市政污水管道</w:t>
      </w:r>
      <w:r>
        <w:rPr>
          <w:rFonts w:hint="eastAsia" w:ascii="宋体" w:hAnsi="宋体"/>
          <w:kern w:val="0"/>
          <w:sz w:val="24"/>
        </w:rPr>
        <w:t>，</w:t>
      </w:r>
      <w:r>
        <w:rPr>
          <w:rFonts w:ascii="宋体" w:hAnsi="宋体"/>
          <w:kern w:val="0"/>
          <w:sz w:val="24"/>
        </w:rPr>
        <w:t>锅炉废气治理水混入煤渣制造建材</w:t>
      </w:r>
      <w:r>
        <w:rPr>
          <w:rFonts w:hint="eastAsia" w:ascii="宋体" w:hAnsi="宋体"/>
          <w:kern w:val="0"/>
          <w:sz w:val="24"/>
        </w:rPr>
        <w:t>或进入</w:t>
      </w:r>
      <w:r>
        <w:rPr>
          <w:rFonts w:ascii="宋体" w:hAnsi="宋体"/>
          <w:kern w:val="0"/>
          <w:sz w:val="24"/>
        </w:rPr>
        <w:t>后续污水处理设施进行处理。</w:t>
      </w:r>
    </w:p>
    <w:p>
      <w:pPr>
        <w:pStyle w:val="2"/>
        <w:snapToGrid w:val="0"/>
        <w:spacing w:before="0" w:after="0" w:line="360" w:lineRule="auto"/>
        <w:rPr>
          <w:kern w:val="0"/>
          <w:sz w:val="24"/>
        </w:rPr>
      </w:pPr>
      <w:r>
        <w:rPr>
          <w:rFonts w:hint="eastAsia"/>
          <w:kern w:val="0"/>
          <w:sz w:val="24"/>
        </w:rPr>
        <w:t>2.6.3 不同</w:t>
      </w:r>
      <w:r>
        <w:rPr>
          <w:kern w:val="0"/>
          <w:sz w:val="24"/>
        </w:rPr>
        <w:t>种类废水的预处理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人造革合成革生产过程中的废水处理，要根据行业自身的特点，对一些特殊的废水要先进行预处理，达到一定水质要求后再进入主废水处理池。</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湿法工艺的浸水槽或超纤生产中的含浸凝固槽废水、干法工艺中的水洗式废气洗涤水、料罐清洗水等，废水中的DMF含量较高，浓度含量</w:t>
      </w:r>
      <w:r>
        <w:rPr>
          <w:rFonts w:ascii="宋体" w:hAnsi="宋体"/>
          <w:kern w:val="0"/>
          <w:sz w:val="24"/>
        </w:rPr>
        <w:t>均超过</w:t>
      </w:r>
      <w:r>
        <w:rPr>
          <w:rFonts w:hint="eastAsia" w:ascii="宋体" w:hAnsi="宋体"/>
          <w:kern w:val="0"/>
          <w:sz w:val="24"/>
        </w:rPr>
        <w:t>20</w:t>
      </w:r>
      <w:r>
        <w:rPr>
          <w:rFonts w:ascii="宋体" w:hAnsi="宋体"/>
          <w:kern w:val="0"/>
          <w:sz w:val="24"/>
        </w:rPr>
        <w:t>%，</w:t>
      </w:r>
      <w:r>
        <w:rPr>
          <w:rFonts w:hint="eastAsia" w:ascii="宋体" w:hAnsi="宋体"/>
          <w:kern w:val="0"/>
          <w:sz w:val="24"/>
        </w:rPr>
        <w:t>需要将其收集于特制废水罐中，收集到一定量后，进入DMF精馏塔进行回收处理。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DMF精馏</w:t>
      </w:r>
      <w:r>
        <w:rPr>
          <w:rFonts w:ascii="宋体" w:hAnsi="宋体"/>
          <w:kern w:val="0"/>
          <w:sz w:val="24"/>
        </w:rPr>
        <w:t>塔的</w:t>
      </w:r>
      <w:r>
        <w:rPr>
          <w:rFonts w:hint="eastAsia" w:ascii="宋体" w:hAnsi="宋体"/>
          <w:kern w:val="0"/>
          <w:sz w:val="24"/>
        </w:rPr>
        <w:t>塔顶水的预处理，需要解决温度高和臭味的问题，在塔顶水进入调节池之前之前，要先进行冷却，冷却过程不能采用冷却塔。另外，为了防治预处理过程中二甲胺造成大气污染，需使用酸中和或其他预处理方式进行除臭，除臭预处理过程需要在密闭环境中进行，防止臭气污染。</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高浓度废水的预处理一般指洗塔水或洗槽水，其一般为停止生产期间产生，水量不大，但浓度较高，需要提前进行预处理，防止其对后续废水处理系统的冲击。预处理的方法一般是专门为高浓度废水设置一个调节池，高浓度废水进入调节池后，控制其出水的水量与较低浓度的废水混合，使进入总调节池的废水浓度控制在系统允许的范围内。若高浓度废水悬浮物太高，需将这部分水先做过滤处理。</w:t>
      </w:r>
    </w:p>
    <w:p>
      <w:pPr>
        <w:pStyle w:val="2"/>
        <w:snapToGrid w:val="0"/>
        <w:spacing w:before="0" w:after="0" w:line="360" w:lineRule="auto"/>
        <w:rPr>
          <w:kern w:val="0"/>
          <w:sz w:val="24"/>
        </w:rPr>
      </w:pPr>
      <w:r>
        <w:rPr>
          <w:rFonts w:hint="eastAsia"/>
          <w:kern w:val="0"/>
          <w:sz w:val="24"/>
        </w:rPr>
        <w:t>2.6.4 废水</w:t>
      </w:r>
      <w:r>
        <w:rPr>
          <w:kern w:val="0"/>
          <w:sz w:val="24"/>
        </w:rPr>
        <w:t>末端处理</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废水</w:t>
      </w:r>
      <w:r>
        <w:rPr>
          <w:rFonts w:ascii="宋体" w:hAnsi="宋体"/>
          <w:kern w:val="0"/>
          <w:sz w:val="24"/>
        </w:rPr>
        <w:t>的末端处理</w:t>
      </w:r>
      <w:r>
        <w:rPr>
          <w:rFonts w:hint="eastAsia" w:ascii="宋体" w:hAnsi="宋体"/>
          <w:kern w:val="0"/>
          <w:sz w:val="24"/>
        </w:rPr>
        <w:t>应根据现行的污染物排放标准、污染物的来源及性质、排水去向确定合成革与人造革工业废水的处理程度，选择相应的处理级别和处理工艺。废水</w:t>
      </w:r>
      <w:r>
        <w:rPr>
          <w:rFonts w:ascii="宋体" w:hAnsi="宋体"/>
          <w:kern w:val="0"/>
          <w:sz w:val="24"/>
        </w:rPr>
        <w:t>的处理过程需要充分考虑</w:t>
      </w:r>
      <w:r>
        <w:rPr>
          <w:rFonts w:hint="eastAsia" w:ascii="宋体" w:hAnsi="宋体"/>
          <w:kern w:val="0"/>
          <w:sz w:val="24"/>
        </w:rPr>
        <w:t>脱氮</w:t>
      </w:r>
      <w:r>
        <w:rPr>
          <w:rFonts w:ascii="宋体" w:hAnsi="宋体"/>
          <w:kern w:val="0"/>
          <w:sz w:val="24"/>
        </w:rPr>
        <w:t>，目前较为有效的方法</w:t>
      </w:r>
      <w:r>
        <w:rPr>
          <w:rFonts w:hint="eastAsia" w:ascii="宋体" w:hAnsi="宋体"/>
          <w:kern w:val="0"/>
          <w:sz w:val="24"/>
        </w:rPr>
        <w:t>为</w:t>
      </w:r>
      <w:r>
        <w:rPr>
          <w:rFonts w:ascii="宋体" w:hAnsi="宋体"/>
          <w:kern w:val="0"/>
          <w:sz w:val="24"/>
        </w:rPr>
        <w:t>生物脱氮法。</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本标准</w:t>
      </w:r>
      <w:r>
        <w:rPr>
          <w:rFonts w:ascii="宋体" w:hAnsi="宋体"/>
          <w:kern w:val="0"/>
          <w:sz w:val="24"/>
        </w:rPr>
        <w:t>中</w:t>
      </w:r>
      <w:r>
        <w:rPr>
          <w:rFonts w:hint="eastAsia" w:ascii="宋体" w:hAnsi="宋体"/>
          <w:kern w:val="0"/>
          <w:sz w:val="24"/>
        </w:rPr>
        <w:t>对</w:t>
      </w:r>
      <w:r>
        <w:rPr>
          <w:rFonts w:ascii="宋体" w:hAnsi="宋体"/>
          <w:kern w:val="0"/>
          <w:sz w:val="24"/>
        </w:rPr>
        <w:t>人造革合成革废水末端处理的预处理、生化处理和深度处理工艺选择均作出了相应说明。</w:t>
      </w:r>
    </w:p>
    <w:p>
      <w:pPr>
        <w:pStyle w:val="2"/>
        <w:snapToGrid w:val="0"/>
        <w:spacing w:before="0" w:after="0" w:line="360" w:lineRule="auto"/>
        <w:rPr>
          <w:kern w:val="0"/>
          <w:sz w:val="24"/>
        </w:rPr>
      </w:pPr>
      <w:r>
        <w:rPr>
          <w:kern w:val="0"/>
          <w:sz w:val="24"/>
        </w:rPr>
        <w:t xml:space="preserve">2.6.5 </w:t>
      </w:r>
      <w:r>
        <w:rPr>
          <w:rFonts w:hint="eastAsia"/>
          <w:kern w:val="0"/>
          <w:sz w:val="24"/>
        </w:rPr>
        <w:t>废水</w:t>
      </w:r>
      <w:r>
        <w:rPr>
          <w:kern w:val="0"/>
          <w:sz w:val="24"/>
        </w:rPr>
        <w:t>处理和回用过程的二次污染控制</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废水处理过程中所产生的废水、废气、废渣噪声及其他二次污染物的防治与排放应符合现行的国家环境保护法和标准要求。DMF精馏塔回收DMF有效成分后，要注意其塔顶水的回收以及精馏塔废气的脱臭处理，去除其中的二甲胺废气，避免造成废气二次污染。</w:t>
      </w:r>
    </w:p>
    <w:p>
      <w:pPr>
        <w:pStyle w:val="2"/>
        <w:snapToGrid w:val="0"/>
        <w:spacing w:before="0" w:after="0" w:line="360" w:lineRule="auto"/>
        <w:rPr>
          <w:kern w:val="0"/>
          <w:sz w:val="24"/>
        </w:rPr>
      </w:pPr>
      <w:r>
        <w:rPr>
          <w:rFonts w:hint="eastAsia"/>
          <w:kern w:val="0"/>
          <w:sz w:val="24"/>
        </w:rPr>
        <w:t>2.7 其他</w:t>
      </w:r>
      <w:r>
        <w:rPr>
          <w:kern w:val="0"/>
          <w:sz w:val="24"/>
        </w:rPr>
        <w:t>要求</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本标准</w:t>
      </w:r>
      <w:r>
        <w:rPr>
          <w:rFonts w:ascii="宋体" w:hAnsi="宋体"/>
          <w:kern w:val="0"/>
          <w:sz w:val="24"/>
        </w:rPr>
        <w:t>还对企业</w:t>
      </w:r>
      <w:r>
        <w:rPr>
          <w:rFonts w:hint="eastAsia" w:ascii="宋体" w:hAnsi="宋体"/>
          <w:kern w:val="0"/>
          <w:sz w:val="24"/>
        </w:rPr>
        <w:t>废水</w:t>
      </w:r>
      <w:r>
        <w:rPr>
          <w:rFonts w:ascii="宋体" w:hAnsi="宋体"/>
          <w:kern w:val="0"/>
          <w:sz w:val="24"/>
        </w:rPr>
        <w:t>处理设施的设备设施配备、回用管理要求、</w:t>
      </w:r>
      <w:r>
        <w:rPr>
          <w:rFonts w:hint="eastAsia" w:ascii="宋体" w:hAnsi="宋体"/>
          <w:kern w:val="0"/>
          <w:sz w:val="24"/>
        </w:rPr>
        <w:t>运行</w:t>
      </w:r>
      <w:r>
        <w:rPr>
          <w:rFonts w:ascii="宋体" w:hAnsi="宋体"/>
          <w:kern w:val="0"/>
          <w:sz w:val="24"/>
        </w:rPr>
        <w:t>维护要求以及数据采集和计算方法。</w:t>
      </w:r>
    </w:p>
    <w:p>
      <w:pPr>
        <w:pStyle w:val="10"/>
        <w:numPr>
          <w:ilvl w:val="0"/>
          <w:numId w:val="1"/>
        </w:numPr>
        <w:spacing w:line="360" w:lineRule="auto"/>
        <w:jc w:val="both"/>
        <w:outlineLvl w:val="0"/>
        <w:rPr>
          <w:rFonts w:ascii="Times New Roman"/>
          <w:sz w:val="24"/>
          <w:szCs w:val="24"/>
        </w:rPr>
      </w:pPr>
      <w:bookmarkStart w:id="12" w:name="_Toc23769793"/>
      <w:r>
        <w:rPr>
          <w:rFonts w:hint="eastAsia" w:ascii="Times New Roman"/>
          <w:sz w:val="24"/>
          <w:szCs w:val="24"/>
        </w:rPr>
        <w:t>主要验证情况</w:t>
      </w:r>
      <w:bookmarkEnd w:id="12"/>
    </w:p>
    <w:p>
      <w:pPr>
        <w:spacing w:line="360" w:lineRule="auto"/>
        <w:ind w:firstLine="480" w:firstLineChars="200"/>
        <w:rPr>
          <w:kern w:val="0"/>
          <w:sz w:val="24"/>
          <w:highlight w:val="none"/>
        </w:rPr>
        <w:sectPr>
          <w:pgSz w:w="11906" w:h="16838"/>
          <w:pgMar w:top="1440" w:right="1800" w:bottom="1440" w:left="1800" w:header="851" w:footer="992" w:gutter="0"/>
          <w:cols w:space="425" w:num="1"/>
          <w:docGrid w:type="lines" w:linePitch="312" w:charSpace="0"/>
        </w:sectPr>
      </w:pPr>
      <w:r>
        <w:rPr>
          <w:kern w:val="0"/>
          <w:sz w:val="24"/>
          <w:highlight w:val="none"/>
        </w:rPr>
        <w:t>为验证本标准制定指标是否满足企业节水需要，标准制定工作组调研、统计和实测采集了10家具有一定代表性的企业的</w:t>
      </w:r>
      <w:r>
        <w:rPr>
          <w:rFonts w:hint="eastAsia"/>
          <w:kern w:val="0"/>
          <w:sz w:val="24"/>
          <w:highlight w:val="none"/>
        </w:rPr>
        <w:t>废水回用</w:t>
      </w:r>
      <w:r>
        <w:rPr>
          <w:kern w:val="0"/>
          <w:sz w:val="24"/>
          <w:highlight w:val="none"/>
        </w:rPr>
        <w:t>数据，并结合国内人造革合成行业的现状。具体的测算结果详见表2。</w:t>
      </w:r>
    </w:p>
    <w:p>
      <w:pPr>
        <w:jc w:val="center"/>
        <w:rPr>
          <w:b/>
          <w:bCs/>
          <w:kern w:val="44"/>
          <w:sz w:val="18"/>
          <w:szCs w:val="18"/>
          <w:highlight w:val="none"/>
        </w:rPr>
      </w:pPr>
      <w:r>
        <w:rPr>
          <w:b/>
          <w:kern w:val="0"/>
          <w:sz w:val="18"/>
          <w:szCs w:val="18"/>
          <w:highlight w:val="none"/>
        </w:rPr>
        <w:t xml:space="preserve">表2   </w:t>
      </w:r>
      <w:r>
        <w:rPr>
          <w:b/>
          <w:bCs/>
          <w:kern w:val="44"/>
          <w:sz w:val="18"/>
          <w:szCs w:val="18"/>
          <w:highlight w:val="none"/>
        </w:rPr>
        <w:t>各企业</w:t>
      </w:r>
      <w:r>
        <w:rPr>
          <w:rFonts w:hint="eastAsia"/>
          <w:b/>
          <w:bCs/>
          <w:kern w:val="44"/>
          <w:sz w:val="18"/>
          <w:szCs w:val="18"/>
          <w:highlight w:val="none"/>
        </w:rPr>
        <w:t>废水回用</w:t>
      </w:r>
      <w:r>
        <w:rPr>
          <w:b/>
          <w:bCs/>
          <w:kern w:val="44"/>
          <w:sz w:val="18"/>
          <w:szCs w:val="18"/>
          <w:highlight w:val="none"/>
        </w:rPr>
        <w:t>情况评价结果表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16"/>
        <w:gridCol w:w="1330"/>
        <w:gridCol w:w="1627"/>
        <w:gridCol w:w="850"/>
        <w:gridCol w:w="1664"/>
        <w:gridCol w:w="1661"/>
        <w:gridCol w:w="1661"/>
        <w:gridCol w:w="1656"/>
        <w:gridCol w:w="1656"/>
        <w:gridCol w:w="16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7" w:type="pct"/>
            <w:vMerge w:val="restart"/>
            <w:vAlign w:val="center"/>
          </w:tcPr>
          <w:p>
            <w:pPr>
              <w:widowControl/>
              <w:adjustRightInd w:val="0"/>
              <w:snapToGrid w:val="0"/>
              <w:ind w:left="-105" w:leftChars="-50" w:right="-105" w:rightChars="-50"/>
              <w:jc w:val="center"/>
              <w:rPr>
                <w:b/>
                <w:bCs/>
                <w:kern w:val="0"/>
                <w:sz w:val="18"/>
                <w:szCs w:val="18"/>
                <w:highlight w:val="none"/>
              </w:rPr>
            </w:pPr>
            <w:r>
              <w:rPr>
                <w:b/>
                <w:bCs/>
                <w:kern w:val="44"/>
                <w:sz w:val="18"/>
                <w:szCs w:val="18"/>
                <w:highlight w:val="none"/>
              </w:rPr>
              <w:t>序号</w:t>
            </w:r>
          </w:p>
        </w:tc>
        <w:tc>
          <w:tcPr>
            <w:tcW w:w="469" w:type="pct"/>
            <w:vMerge w:val="restart"/>
            <w:vAlign w:val="center"/>
          </w:tcPr>
          <w:p>
            <w:pPr>
              <w:widowControl/>
              <w:adjustRightInd w:val="0"/>
              <w:snapToGrid w:val="0"/>
              <w:ind w:left="-105" w:leftChars="-50" w:right="-105" w:rightChars="-50"/>
              <w:jc w:val="center"/>
              <w:rPr>
                <w:b/>
                <w:bCs/>
                <w:kern w:val="0"/>
                <w:sz w:val="18"/>
                <w:szCs w:val="18"/>
                <w:highlight w:val="none"/>
              </w:rPr>
            </w:pPr>
            <w:r>
              <w:rPr>
                <w:b/>
                <w:bCs/>
                <w:kern w:val="0"/>
                <w:sz w:val="18"/>
                <w:szCs w:val="18"/>
                <w:highlight w:val="none"/>
              </w:rPr>
              <w:t>企业名称</w:t>
            </w:r>
          </w:p>
        </w:tc>
        <w:tc>
          <w:tcPr>
            <w:tcW w:w="574" w:type="pct"/>
            <w:vMerge w:val="restart"/>
            <w:vAlign w:val="center"/>
          </w:tcPr>
          <w:p>
            <w:pPr>
              <w:widowControl/>
              <w:adjustRightInd w:val="0"/>
              <w:snapToGrid w:val="0"/>
              <w:ind w:left="-105" w:leftChars="-50" w:right="-105" w:rightChars="-50"/>
              <w:jc w:val="center"/>
              <w:rPr>
                <w:b/>
                <w:bCs/>
                <w:kern w:val="0"/>
                <w:sz w:val="18"/>
                <w:szCs w:val="18"/>
                <w:highlight w:val="none"/>
              </w:rPr>
            </w:pPr>
            <w:r>
              <w:rPr>
                <w:rFonts w:hint="eastAsia"/>
                <w:b/>
                <w:bCs/>
                <w:kern w:val="0"/>
                <w:sz w:val="18"/>
                <w:szCs w:val="18"/>
                <w:highlight w:val="none"/>
              </w:rPr>
              <w:t>生产</w:t>
            </w:r>
            <w:r>
              <w:rPr>
                <w:b/>
                <w:bCs/>
                <w:kern w:val="0"/>
                <w:sz w:val="18"/>
                <w:szCs w:val="18"/>
                <w:highlight w:val="none"/>
              </w:rPr>
              <w:t>工艺</w:t>
            </w:r>
          </w:p>
        </w:tc>
        <w:tc>
          <w:tcPr>
            <w:tcW w:w="300" w:type="pct"/>
            <w:vMerge w:val="restart"/>
            <w:vAlign w:val="center"/>
          </w:tcPr>
          <w:p>
            <w:pPr>
              <w:widowControl/>
              <w:adjustRightInd w:val="0"/>
              <w:snapToGrid w:val="0"/>
              <w:ind w:left="-105" w:leftChars="-50" w:right="-105" w:rightChars="-50"/>
              <w:jc w:val="center"/>
              <w:rPr>
                <w:b/>
                <w:bCs/>
                <w:kern w:val="0"/>
                <w:sz w:val="18"/>
                <w:szCs w:val="18"/>
                <w:highlight w:val="none"/>
              </w:rPr>
            </w:pPr>
            <w:r>
              <w:rPr>
                <w:rFonts w:hint="eastAsia"/>
                <w:b/>
                <w:bCs/>
                <w:kern w:val="0"/>
                <w:sz w:val="18"/>
                <w:szCs w:val="18"/>
                <w:highlight w:val="none"/>
              </w:rPr>
              <w:t>总体要求</w:t>
            </w:r>
          </w:p>
        </w:tc>
        <w:tc>
          <w:tcPr>
            <w:tcW w:w="587"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废水</w:t>
            </w:r>
            <w:r>
              <w:rPr>
                <w:b/>
                <w:bCs/>
                <w:kern w:val="44"/>
                <w:sz w:val="18"/>
                <w:szCs w:val="18"/>
                <w:highlight w:val="none"/>
              </w:rPr>
              <w:t>回收工艺要求</w:t>
            </w:r>
          </w:p>
        </w:tc>
        <w:tc>
          <w:tcPr>
            <w:tcW w:w="2339" w:type="pct"/>
            <w:gridSpan w:val="4"/>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不同</w:t>
            </w:r>
            <w:r>
              <w:rPr>
                <w:b/>
                <w:bCs/>
                <w:kern w:val="44"/>
                <w:sz w:val="18"/>
                <w:szCs w:val="18"/>
                <w:highlight w:val="none"/>
              </w:rPr>
              <w:t>种类废水预处理</w:t>
            </w:r>
          </w:p>
        </w:tc>
        <w:tc>
          <w:tcPr>
            <w:tcW w:w="583"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废水</w:t>
            </w:r>
            <w:r>
              <w:rPr>
                <w:b/>
                <w:bCs/>
                <w:kern w:val="44"/>
                <w:sz w:val="18"/>
                <w:szCs w:val="18"/>
                <w:highlight w:val="none"/>
              </w:rPr>
              <w:t>末端处理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7" w:type="pct"/>
            <w:vMerge w:val="continue"/>
            <w:vAlign w:val="center"/>
          </w:tcPr>
          <w:p>
            <w:pPr>
              <w:widowControl/>
              <w:adjustRightInd w:val="0"/>
              <w:snapToGrid w:val="0"/>
              <w:ind w:left="-105" w:leftChars="-50" w:right="-105" w:rightChars="-50"/>
              <w:jc w:val="center"/>
              <w:rPr>
                <w:b/>
                <w:bCs/>
                <w:kern w:val="44"/>
                <w:sz w:val="18"/>
                <w:szCs w:val="18"/>
                <w:highlight w:val="none"/>
              </w:rPr>
            </w:pPr>
          </w:p>
        </w:tc>
        <w:tc>
          <w:tcPr>
            <w:tcW w:w="469" w:type="pct"/>
            <w:vMerge w:val="continue"/>
            <w:vAlign w:val="center"/>
          </w:tcPr>
          <w:p>
            <w:pPr>
              <w:widowControl/>
              <w:adjustRightInd w:val="0"/>
              <w:snapToGrid w:val="0"/>
              <w:ind w:left="-105" w:leftChars="-50" w:right="-105" w:rightChars="-50"/>
              <w:jc w:val="center"/>
              <w:rPr>
                <w:b/>
                <w:bCs/>
                <w:kern w:val="0"/>
                <w:sz w:val="18"/>
                <w:szCs w:val="18"/>
                <w:highlight w:val="none"/>
              </w:rPr>
            </w:pPr>
          </w:p>
        </w:tc>
        <w:tc>
          <w:tcPr>
            <w:tcW w:w="574" w:type="pct"/>
            <w:vMerge w:val="continue"/>
            <w:vAlign w:val="center"/>
          </w:tcPr>
          <w:p>
            <w:pPr>
              <w:widowControl/>
              <w:adjustRightInd w:val="0"/>
              <w:snapToGrid w:val="0"/>
              <w:ind w:left="-105" w:leftChars="-50" w:right="-105" w:rightChars="-50"/>
              <w:jc w:val="center"/>
              <w:rPr>
                <w:b/>
                <w:bCs/>
                <w:kern w:val="0"/>
                <w:sz w:val="18"/>
                <w:szCs w:val="18"/>
                <w:highlight w:val="none"/>
              </w:rPr>
            </w:pPr>
          </w:p>
        </w:tc>
        <w:tc>
          <w:tcPr>
            <w:tcW w:w="300" w:type="pct"/>
            <w:vMerge w:val="continue"/>
            <w:vAlign w:val="center"/>
          </w:tcPr>
          <w:p>
            <w:pPr>
              <w:widowControl/>
              <w:adjustRightInd w:val="0"/>
              <w:snapToGrid w:val="0"/>
              <w:ind w:left="-105" w:leftChars="-50" w:right="-105" w:rightChars="-50"/>
              <w:jc w:val="center"/>
              <w:rPr>
                <w:b/>
                <w:bCs/>
                <w:kern w:val="0"/>
                <w:sz w:val="18"/>
                <w:szCs w:val="18"/>
                <w:highlight w:val="none"/>
              </w:rPr>
            </w:pPr>
          </w:p>
        </w:tc>
        <w:tc>
          <w:tcPr>
            <w:tcW w:w="587" w:type="pct"/>
            <w:vAlign w:val="center"/>
          </w:tcPr>
          <w:p>
            <w:pPr>
              <w:widowControl/>
              <w:adjustRightInd w:val="0"/>
              <w:snapToGrid w:val="0"/>
              <w:ind w:left="-105" w:leftChars="-50" w:right="-105" w:rightChars="-50"/>
              <w:jc w:val="center"/>
              <w:rPr>
                <w:b/>
                <w:bCs/>
                <w:kern w:val="44"/>
                <w:sz w:val="18"/>
                <w:szCs w:val="18"/>
                <w:highlight w:val="none"/>
                <w:vertAlign w:val="superscript"/>
              </w:rPr>
            </w:pPr>
            <w:r>
              <w:rPr>
                <w:rFonts w:hint="eastAsia"/>
                <w:b/>
                <w:bCs/>
                <w:kern w:val="44"/>
                <w:sz w:val="18"/>
                <w:szCs w:val="18"/>
                <w:highlight w:val="none"/>
              </w:rPr>
              <w:t>高DMF废水</w:t>
            </w:r>
            <w:r>
              <w:rPr>
                <w:rFonts w:hint="eastAsia"/>
                <w:b/>
                <w:bCs/>
                <w:kern w:val="44"/>
                <w:sz w:val="18"/>
                <w:szCs w:val="18"/>
                <w:highlight w:val="none"/>
                <w:vertAlign w:val="superscript"/>
              </w:rPr>
              <w:t>1</w:t>
            </w:r>
          </w:p>
        </w:tc>
        <w:tc>
          <w:tcPr>
            <w:tcW w:w="586"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凝固槽</w:t>
            </w:r>
            <w:r>
              <w:rPr>
                <w:b/>
                <w:bCs/>
                <w:kern w:val="44"/>
                <w:sz w:val="18"/>
                <w:szCs w:val="18"/>
                <w:highlight w:val="none"/>
              </w:rPr>
              <w:t>或含浸槽</w:t>
            </w:r>
            <w:r>
              <w:rPr>
                <w:rFonts w:hint="eastAsia"/>
                <w:b/>
                <w:bCs/>
                <w:kern w:val="44"/>
                <w:sz w:val="18"/>
                <w:szCs w:val="18"/>
                <w:highlight w:val="none"/>
              </w:rPr>
              <w:t>、</w:t>
            </w:r>
            <w:r>
              <w:rPr>
                <w:b/>
                <w:bCs/>
                <w:kern w:val="44"/>
                <w:sz w:val="18"/>
                <w:szCs w:val="18"/>
                <w:highlight w:val="none"/>
              </w:rPr>
              <w:t>洗塔水、洗槽水、料筒清洗水废水</w:t>
            </w:r>
          </w:p>
        </w:tc>
        <w:tc>
          <w:tcPr>
            <w:tcW w:w="586"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干法废气净化设施废水</w:t>
            </w:r>
          </w:p>
        </w:tc>
        <w:tc>
          <w:tcPr>
            <w:tcW w:w="584"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湿法</w:t>
            </w:r>
            <w:r>
              <w:rPr>
                <w:b/>
                <w:bCs/>
                <w:kern w:val="44"/>
                <w:sz w:val="18"/>
                <w:szCs w:val="18"/>
                <w:highlight w:val="none"/>
              </w:rPr>
              <w:t>水洗槽和湿法净化设备</w:t>
            </w:r>
          </w:p>
        </w:tc>
        <w:tc>
          <w:tcPr>
            <w:tcW w:w="584" w:type="pct"/>
            <w:vAlign w:val="center"/>
          </w:tcPr>
          <w:p>
            <w:pPr>
              <w:widowControl/>
              <w:adjustRightInd w:val="0"/>
              <w:snapToGrid w:val="0"/>
              <w:ind w:left="-105" w:leftChars="-50" w:right="-105" w:rightChars="-50"/>
              <w:jc w:val="center"/>
              <w:rPr>
                <w:b/>
                <w:bCs/>
                <w:kern w:val="44"/>
                <w:sz w:val="18"/>
                <w:szCs w:val="18"/>
                <w:highlight w:val="none"/>
              </w:rPr>
            </w:pPr>
            <w:r>
              <w:rPr>
                <w:rFonts w:hint="eastAsia"/>
                <w:b/>
                <w:bCs/>
                <w:kern w:val="44"/>
                <w:sz w:val="18"/>
                <w:szCs w:val="18"/>
                <w:highlight w:val="none"/>
              </w:rPr>
              <w:t>DMF塔顶水</w:t>
            </w:r>
          </w:p>
        </w:tc>
        <w:tc>
          <w:tcPr>
            <w:tcW w:w="583" w:type="pct"/>
            <w:vAlign w:val="center"/>
          </w:tcPr>
          <w:p>
            <w:pPr>
              <w:widowControl/>
              <w:adjustRightInd w:val="0"/>
              <w:snapToGrid w:val="0"/>
              <w:ind w:left="-105" w:leftChars="-50" w:right="-105" w:rightChars="-50"/>
              <w:jc w:val="center"/>
              <w:rPr>
                <w:b/>
                <w:bCs/>
                <w:kern w:val="44"/>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7" w:type="pct"/>
            <w:vAlign w:val="center"/>
          </w:tcPr>
          <w:p>
            <w:pPr>
              <w:widowControl/>
              <w:adjustRightInd w:val="0"/>
              <w:snapToGrid w:val="0"/>
              <w:ind w:left="-105" w:leftChars="-50" w:right="-105" w:rightChars="-50"/>
              <w:jc w:val="center"/>
              <w:rPr>
                <w:bCs/>
                <w:kern w:val="0"/>
                <w:sz w:val="18"/>
                <w:szCs w:val="18"/>
                <w:highlight w:val="none"/>
              </w:rPr>
            </w:pPr>
            <w:r>
              <w:rPr>
                <w:kern w:val="0"/>
                <w:sz w:val="18"/>
                <w:szCs w:val="18"/>
                <w:highlight w:val="none"/>
              </w:rPr>
              <w:t>1</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A企业</w:t>
            </w:r>
          </w:p>
        </w:tc>
        <w:tc>
          <w:tcPr>
            <w:tcW w:w="574" w:type="pct"/>
          </w:tcPr>
          <w:p>
            <w:pPr>
              <w:adjustRightInd w:val="0"/>
              <w:snapToGrid w:val="0"/>
              <w:jc w:val="center"/>
              <w:rPr>
                <w:rFonts w:ascii="宋体" w:hAnsi="宋体" w:cs="宋体"/>
                <w:bCs/>
                <w:kern w:val="44"/>
                <w:sz w:val="18"/>
                <w:szCs w:val="18"/>
                <w:highlight w:val="none"/>
              </w:rPr>
            </w:pPr>
            <w:r>
              <w:rPr>
                <w:rFonts w:hint="eastAsia"/>
                <w:sz w:val="18"/>
                <w:szCs w:val="18"/>
                <w:highlight w:val="none"/>
              </w:rPr>
              <w:t>压延</w:t>
            </w:r>
            <w:r>
              <w:rPr>
                <w:sz w:val="18"/>
                <w:szCs w:val="18"/>
                <w:highlight w:val="none"/>
              </w:rPr>
              <w:t>、流延、</w:t>
            </w:r>
            <w:r>
              <w:rPr>
                <w:rFonts w:hint="eastAsia"/>
                <w:sz w:val="18"/>
                <w:szCs w:val="18"/>
                <w:highlight w:val="none"/>
              </w:rPr>
              <w:t>涂覆</w:t>
            </w:r>
            <w:r>
              <w:rPr>
                <w:rFonts w:hint="eastAsia"/>
                <w:color w:val="000000"/>
                <w:sz w:val="18"/>
                <w:szCs w:val="18"/>
                <w:highlight w:val="none"/>
              </w:rPr>
              <w:t>PVC</w:t>
            </w:r>
          </w:p>
        </w:tc>
        <w:tc>
          <w:tcPr>
            <w:tcW w:w="300" w:type="pct"/>
            <w:tcBorders>
              <w:bottom w:val="single" w:color="auto" w:sz="4" w:space="0"/>
            </w:tcBorders>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tcBorders>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，DM</w:t>
            </w:r>
            <w:r>
              <w:rPr>
                <w:bCs/>
                <w:kern w:val="44"/>
                <w:sz w:val="18"/>
                <w:szCs w:val="18"/>
                <w:highlight w:val="none"/>
              </w:rPr>
              <w:t>F全厂回收率</w:t>
            </w:r>
            <w:r>
              <w:rPr>
                <w:rFonts w:hint="eastAsia"/>
                <w:bCs/>
                <w:kern w:val="44"/>
                <w:sz w:val="18"/>
                <w:szCs w:val="18"/>
                <w:highlight w:val="none"/>
              </w:rPr>
              <w:t>80</w:t>
            </w:r>
            <w:r>
              <w:rPr>
                <w:bCs/>
                <w:kern w:val="44"/>
                <w:sz w:val="18"/>
                <w:szCs w:val="18"/>
                <w:highlight w:val="none"/>
              </w:rPr>
              <w:t>%</w:t>
            </w:r>
          </w:p>
        </w:tc>
        <w:tc>
          <w:tcPr>
            <w:tcW w:w="586" w:type="pct"/>
            <w:tcBorders>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Borders>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Borders>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未回收</w:t>
            </w:r>
          </w:p>
        </w:tc>
        <w:tc>
          <w:tcPr>
            <w:tcW w:w="584" w:type="pct"/>
            <w:tcBorders>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30</w:t>
            </w:r>
            <w:r>
              <w:rPr>
                <w:bCs/>
                <w:kern w:val="44"/>
                <w:sz w:val="18"/>
                <w:szCs w:val="18"/>
                <w:highlight w:val="none"/>
              </w:rPr>
              <w:t>%</w:t>
            </w:r>
          </w:p>
        </w:tc>
        <w:tc>
          <w:tcPr>
            <w:tcW w:w="583" w:type="pct"/>
            <w:tcBorders>
              <w:bottom w:val="single" w:color="auto" w:sz="4" w:space="0"/>
            </w:tcBorders>
            <w:vAlign w:val="center"/>
          </w:tcPr>
          <w:p>
            <w:pPr>
              <w:adjustRightInd w:val="0"/>
              <w:snapToGrid w:val="0"/>
              <w:jc w:val="center"/>
              <w:rPr>
                <w:bCs/>
                <w:kern w:val="44"/>
                <w:sz w:val="18"/>
                <w:szCs w:val="18"/>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7" w:type="pct"/>
            <w:vAlign w:val="center"/>
          </w:tcPr>
          <w:p>
            <w:pPr>
              <w:widowControl/>
              <w:adjustRightInd w:val="0"/>
              <w:snapToGrid w:val="0"/>
              <w:ind w:left="-105" w:leftChars="-50" w:right="-105" w:rightChars="-50"/>
              <w:jc w:val="center"/>
              <w:rPr>
                <w:bCs/>
                <w:kern w:val="0"/>
                <w:sz w:val="18"/>
                <w:szCs w:val="18"/>
                <w:highlight w:val="none"/>
              </w:rPr>
            </w:pPr>
            <w:r>
              <w:rPr>
                <w:kern w:val="0"/>
                <w:sz w:val="18"/>
                <w:szCs w:val="18"/>
                <w:highlight w:val="none"/>
              </w:rPr>
              <w:t>2</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B企业</w:t>
            </w:r>
          </w:p>
        </w:tc>
        <w:tc>
          <w:tcPr>
            <w:tcW w:w="574" w:type="pct"/>
          </w:tcPr>
          <w:p>
            <w:pPr>
              <w:adjustRightInd w:val="0"/>
              <w:snapToGrid w:val="0"/>
              <w:jc w:val="center"/>
              <w:rPr>
                <w:rFonts w:ascii="宋体" w:hAnsi="宋体" w:cs="宋体"/>
                <w:bCs/>
                <w:kern w:val="44"/>
                <w:sz w:val="18"/>
                <w:szCs w:val="18"/>
                <w:highlight w:val="none"/>
              </w:rPr>
            </w:pPr>
            <w:r>
              <w:rPr>
                <w:rFonts w:hint="eastAsia"/>
                <w:sz w:val="18"/>
                <w:szCs w:val="18"/>
                <w:highlight w:val="none"/>
              </w:rPr>
              <w:t>压延</w:t>
            </w:r>
            <w:r>
              <w:rPr>
                <w:sz w:val="18"/>
                <w:szCs w:val="18"/>
                <w:highlight w:val="none"/>
              </w:rPr>
              <w:t>、流延、</w:t>
            </w:r>
            <w:r>
              <w:rPr>
                <w:rFonts w:hint="eastAsia"/>
                <w:sz w:val="18"/>
                <w:szCs w:val="18"/>
                <w:highlight w:val="none"/>
              </w:rPr>
              <w:t>涂覆</w:t>
            </w:r>
            <w:r>
              <w:rPr>
                <w:rFonts w:hint="eastAsia"/>
                <w:color w:val="000000"/>
                <w:sz w:val="18"/>
                <w:szCs w:val="18"/>
                <w:highlight w:val="none"/>
              </w:rPr>
              <w:t>PVC</w:t>
            </w:r>
          </w:p>
        </w:tc>
        <w:tc>
          <w:tcPr>
            <w:tcW w:w="300" w:type="pct"/>
            <w:tcBorders>
              <w:top w:val="single" w:color="auto" w:sz="4" w:space="0"/>
            </w:tcBorders>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tcBorders>
              <w:top w:val="single" w:color="auto" w:sz="4" w:space="0"/>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8</w:t>
            </w:r>
            <w:r>
              <w:rPr>
                <w:bCs/>
                <w:kern w:val="44"/>
                <w:sz w:val="18"/>
                <w:szCs w:val="18"/>
                <w:highlight w:val="none"/>
              </w:rPr>
              <w:t>5%</w:t>
            </w:r>
          </w:p>
        </w:tc>
        <w:tc>
          <w:tcPr>
            <w:tcW w:w="586" w:type="pct"/>
            <w:tcBorders>
              <w:top w:val="single" w:color="auto" w:sz="4" w:space="0"/>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Borders>
              <w:top w:val="single" w:color="auto" w:sz="4" w:space="0"/>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Borders>
              <w:top w:val="single" w:color="auto" w:sz="4" w:space="0"/>
              <w:bottom w:val="single" w:color="auto" w:sz="4" w:space="0"/>
            </w:tcBorders>
          </w:tcPr>
          <w:p>
            <w:pPr>
              <w:jc w:val="center"/>
              <w:rPr>
                <w:bCs/>
                <w:kern w:val="44"/>
                <w:sz w:val="18"/>
                <w:szCs w:val="18"/>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w:t>
            </w:r>
          </w:p>
        </w:tc>
        <w:tc>
          <w:tcPr>
            <w:tcW w:w="584" w:type="pct"/>
            <w:tcBorders>
              <w:top w:val="single" w:color="auto" w:sz="4" w:space="0"/>
              <w:bottom w:val="single" w:color="auto" w:sz="4" w:space="0"/>
            </w:tcBorders>
          </w:tcPr>
          <w:p>
            <w:pPr>
              <w:jc w:val="center"/>
              <w:rPr>
                <w:bCs/>
                <w:kern w:val="44"/>
                <w:sz w:val="18"/>
                <w:szCs w:val="18"/>
                <w:highlight w:val="none"/>
              </w:rPr>
            </w:pPr>
            <w:r>
              <w:rPr>
                <w:rFonts w:hint="eastAsia"/>
                <w:bCs/>
                <w:kern w:val="44"/>
                <w:sz w:val="18"/>
                <w:szCs w:val="18"/>
                <w:highlight w:val="none"/>
              </w:rPr>
              <w:t>未</w:t>
            </w:r>
            <w:r>
              <w:rPr>
                <w:bCs/>
                <w:kern w:val="44"/>
                <w:sz w:val="18"/>
                <w:szCs w:val="18"/>
                <w:highlight w:val="none"/>
              </w:rPr>
              <w:t>回用</w:t>
            </w:r>
          </w:p>
        </w:tc>
        <w:tc>
          <w:tcPr>
            <w:tcW w:w="583" w:type="pct"/>
            <w:tcBorders>
              <w:top w:val="single" w:color="auto" w:sz="4" w:space="0"/>
              <w:bottom w:val="single" w:color="auto" w:sz="4" w:space="0"/>
            </w:tcBorders>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3</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C企业</w:t>
            </w:r>
          </w:p>
        </w:tc>
        <w:tc>
          <w:tcPr>
            <w:tcW w:w="574" w:type="pct"/>
          </w:tcPr>
          <w:p>
            <w:pPr>
              <w:adjustRightInd w:val="0"/>
              <w:snapToGrid w:val="0"/>
              <w:jc w:val="center"/>
              <w:rPr>
                <w:rFonts w:ascii="宋体" w:hAnsi="宋体" w:cs="宋体"/>
                <w:bCs/>
                <w:kern w:val="44"/>
                <w:sz w:val="18"/>
                <w:szCs w:val="18"/>
                <w:highlight w:val="none"/>
              </w:rPr>
            </w:pPr>
            <w:r>
              <w:rPr>
                <w:rFonts w:hint="eastAsia"/>
                <w:sz w:val="18"/>
                <w:szCs w:val="18"/>
                <w:highlight w:val="none"/>
              </w:rPr>
              <w:t>干法PU</w:t>
            </w:r>
          </w:p>
        </w:tc>
        <w:tc>
          <w:tcPr>
            <w:tcW w:w="300" w:type="pct"/>
            <w:tcBorders>
              <w:bottom w:val="single" w:color="auto" w:sz="4" w:space="0"/>
            </w:tcBorders>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tcBorders>
              <w:top w:val="single" w:color="auto" w:sz="4" w:space="0"/>
              <w:bottom w:val="single" w:color="auto" w:sz="4" w:space="0"/>
            </w:tcBorders>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60</w:t>
            </w:r>
            <w:r>
              <w:rPr>
                <w:bCs/>
                <w:kern w:val="44"/>
                <w:sz w:val="18"/>
                <w:szCs w:val="18"/>
                <w:highlight w:val="none"/>
              </w:rPr>
              <w:t>%</w:t>
            </w:r>
          </w:p>
        </w:tc>
        <w:tc>
          <w:tcPr>
            <w:tcW w:w="586" w:type="pct"/>
            <w:tcBorders>
              <w:top w:val="single" w:color="auto" w:sz="4" w:space="0"/>
              <w:bottom w:val="single" w:color="auto" w:sz="4" w:space="0"/>
            </w:tcBorders>
          </w:tcPr>
          <w:p>
            <w:pPr>
              <w:adjustRightInd w:val="0"/>
              <w:snapToGrid w:val="0"/>
              <w:jc w:val="center"/>
              <w:rPr>
                <w:bCs/>
                <w:kern w:val="44"/>
                <w:sz w:val="18"/>
                <w:szCs w:val="18"/>
                <w:highlight w:val="none"/>
              </w:rPr>
            </w:pPr>
            <w:r>
              <w:rPr>
                <w:rFonts w:hint="eastAsia"/>
                <w:bCs/>
                <w:kern w:val="44"/>
                <w:sz w:val="18"/>
                <w:szCs w:val="18"/>
                <w:highlight w:val="none"/>
              </w:rPr>
              <w:t>/</w:t>
            </w:r>
          </w:p>
        </w:tc>
        <w:tc>
          <w:tcPr>
            <w:tcW w:w="586" w:type="pct"/>
            <w:tcBorders>
              <w:top w:val="single" w:color="auto" w:sz="4" w:space="0"/>
              <w:bottom w:val="single" w:color="auto" w:sz="4" w:space="0"/>
            </w:tcBorders>
          </w:tcPr>
          <w:p>
            <w:pPr>
              <w:rPr>
                <w:highlight w:val="none"/>
              </w:rPr>
            </w:pPr>
            <w:r>
              <w:rPr>
                <w:rFonts w:hint="eastAsia"/>
                <w:bCs/>
                <w:kern w:val="44"/>
                <w:sz w:val="18"/>
                <w:szCs w:val="18"/>
                <w:highlight w:val="none"/>
              </w:rPr>
              <w:t>100</w:t>
            </w:r>
            <w:r>
              <w:rPr>
                <w:bCs/>
                <w:kern w:val="44"/>
                <w:sz w:val="18"/>
                <w:szCs w:val="18"/>
                <w:highlight w:val="none"/>
              </w:rPr>
              <w:t>%回</w:t>
            </w:r>
            <w:r>
              <w:rPr>
                <w:rFonts w:hint="eastAsia"/>
                <w:bCs/>
                <w:kern w:val="44"/>
                <w:sz w:val="18"/>
                <w:szCs w:val="18"/>
                <w:highlight w:val="none"/>
              </w:rPr>
              <w:t>收</w:t>
            </w:r>
            <w:r>
              <w:rPr>
                <w:bCs/>
                <w:kern w:val="44"/>
                <w:sz w:val="18"/>
                <w:szCs w:val="18"/>
                <w:highlight w:val="none"/>
              </w:rPr>
              <w:t>至</w:t>
            </w:r>
            <w:r>
              <w:rPr>
                <w:rFonts w:hint="eastAsia"/>
                <w:bCs/>
                <w:kern w:val="44"/>
                <w:sz w:val="18"/>
                <w:szCs w:val="18"/>
                <w:highlight w:val="none"/>
              </w:rPr>
              <w:t>DMF精馏塔</w:t>
            </w:r>
          </w:p>
        </w:tc>
        <w:tc>
          <w:tcPr>
            <w:tcW w:w="584" w:type="pct"/>
            <w:tcBorders>
              <w:top w:val="single" w:color="auto" w:sz="4" w:space="0"/>
              <w:bottom w:val="single" w:color="auto" w:sz="4" w:space="0"/>
            </w:tcBorders>
          </w:tcPr>
          <w:p>
            <w:pPr>
              <w:rPr>
                <w:highlight w:val="none"/>
              </w:rPr>
            </w:pPr>
            <w:r>
              <w:rPr>
                <w:rFonts w:hint="eastAsia"/>
                <w:highlight w:val="none"/>
              </w:rPr>
              <w:t>未回收</w:t>
            </w:r>
          </w:p>
        </w:tc>
        <w:tc>
          <w:tcPr>
            <w:tcW w:w="584" w:type="pct"/>
            <w:tcBorders>
              <w:top w:val="single" w:color="auto" w:sz="4" w:space="0"/>
              <w:bottom w:val="single" w:color="auto" w:sz="4" w:space="0"/>
            </w:tcBorders>
          </w:tcPr>
          <w:p>
            <w:pPr>
              <w:jc w:val="center"/>
              <w:rPr>
                <w:bCs/>
                <w:kern w:val="44"/>
                <w:sz w:val="18"/>
                <w:szCs w:val="18"/>
                <w:highlight w:val="none"/>
              </w:rPr>
            </w:pPr>
            <w:r>
              <w:rPr>
                <w:rFonts w:hint="eastAsia"/>
                <w:bCs/>
                <w:kern w:val="44"/>
                <w:sz w:val="18"/>
                <w:szCs w:val="18"/>
                <w:highlight w:val="none"/>
              </w:rPr>
              <w:t>未回用</w:t>
            </w:r>
          </w:p>
        </w:tc>
        <w:tc>
          <w:tcPr>
            <w:tcW w:w="583" w:type="pct"/>
            <w:tcBorders>
              <w:top w:val="single" w:color="auto" w:sz="4" w:space="0"/>
              <w:bottom w:val="single" w:color="auto" w:sz="4" w:space="0"/>
            </w:tcBorders>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4</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D企业</w:t>
            </w:r>
          </w:p>
        </w:tc>
        <w:tc>
          <w:tcPr>
            <w:tcW w:w="574" w:type="pct"/>
          </w:tcPr>
          <w:p>
            <w:pPr>
              <w:widowControl/>
              <w:adjustRightInd w:val="0"/>
              <w:snapToGrid w:val="0"/>
              <w:ind w:left="-105" w:leftChars="-50" w:right="-105" w:rightChars="-50"/>
              <w:jc w:val="center"/>
              <w:rPr>
                <w:rFonts w:ascii="宋体" w:hAnsi="宋体" w:cs="宋体"/>
                <w:bCs/>
                <w:kern w:val="44"/>
                <w:sz w:val="18"/>
                <w:szCs w:val="18"/>
                <w:highlight w:val="none"/>
              </w:rPr>
            </w:pPr>
            <w:r>
              <w:rPr>
                <w:rFonts w:hint="eastAsia"/>
                <w:sz w:val="18"/>
                <w:szCs w:val="18"/>
                <w:highlight w:val="none"/>
              </w:rPr>
              <w:t>干法PU</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75</w:t>
            </w:r>
            <w:r>
              <w:rPr>
                <w:bCs/>
                <w:kern w:val="44"/>
                <w:sz w:val="18"/>
                <w:szCs w:val="18"/>
                <w:highlight w:val="none"/>
              </w:rPr>
              <w:t>%</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6" w:type="pct"/>
          </w:tcPr>
          <w:p>
            <w:pPr>
              <w:rPr>
                <w:highlight w:val="none"/>
              </w:rPr>
            </w:pPr>
            <w:r>
              <w:rPr>
                <w:rFonts w:hint="eastAsia"/>
                <w:bCs/>
                <w:kern w:val="44"/>
                <w:sz w:val="18"/>
                <w:szCs w:val="18"/>
                <w:highlight w:val="none"/>
              </w:rPr>
              <w:t>100</w:t>
            </w:r>
            <w:r>
              <w:rPr>
                <w:bCs/>
                <w:kern w:val="44"/>
                <w:sz w:val="18"/>
                <w:szCs w:val="18"/>
                <w:highlight w:val="none"/>
              </w:rPr>
              <w:t>%回</w:t>
            </w:r>
            <w:r>
              <w:rPr>
                <w:rFonts w:hint="eastAsia"/>
                <w:bCs/>
                <w:kern w:val="44"/>
                <w:sz w:val="18"/>
                <w:szCs w:val="18"/>
                <w:highlight w:val="none"/>
              </w:rPr>
              <w:t>收</w:t>
            </w:r>
            <w:r>
              <w:rPr>
                <w:bCs/>
                <w:kern w:val="44"/>
                <w:sz w:val="18"/>
                <w:szCs w:val="18"/>
                <w:highlight w:val="none"/>
              </w:rPr>
              <w:t>至</w:t>
            </w:r>
            <w:r>
              <w:rPr>
                <w:rFonts w:hint="eastAsia"/>
                <w:bCs/>
                <w:kern w:val="44"/>
                <w:sz w:val="18"/>
                <w:szCs w:val="18"/>
                <w:highlight w:val="none"/>
              </w:rPr>
              <w:t>DMF精馏塔</w:t>
            </w:r>
          </w:p>
        </w:tc>
        <w:tc>
          <w:tcPr>
            <w:tcW w:w="584" w:type="pct"/>
          </w:tcPr>
          <w:p>
            <w:pPr>
              <w:rPr>
                <w:highlight w:val="none"/>
              </w:rPr>
            </w:pPr>
            <w:r>
              <w:rPr>
                <w:rFonts w:hint="eastAsia"/>
                <w:highlight w:val="none"/>
              </w:rPr>
              <w:t>未回收</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20</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5</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E企业</w:t>
            </w:r>
          </w:p>
        </w:tc>
        <w:tc>
          <w:tcPr>
            <w:tcW w:w="574" w:type="pct"/>
          </w:tcPr>
          <w:p>
            <w:pPr>
              <w:jc w:val="center"/>
              <w:rPr>
                <w:rFonts w:ascii="宋体" w:hAnsi="宋体" w:cs="宋体"/>
                <w:bCs/>
                <w:kern w:val="44"/>
                <w:sz w:val="18"/>
                <w:szCs w:val="18"/>
                <w:highlight w:val="none"/>
              </w:rPr>
            </w:pPr>
            <w:r>
              <w:rPr>
                <w:rFonts w:hint="eastAsia"/>
                <w:sz w:val="18"/>
                <w:szCs w:val="18"/>
                <w:highlight w:val="none"/>
              </w:rPr>
              <w:t>湿法PU</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82</w:t>
            </w:r>
            <w:r>
              <w:rPr>
                <w:bCs/>
                <w:kern w:val="44"/>
                <w:sz w:val="18"/>
                <w:szCs w:val="18"/>
                <w:highlight w:val="none"/>
              </w:rPr>
              <w:t>%</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jc w:val="center"/>
              <w:rPr>
                <w:bCs/>
                <w:kern w:val="44"/>
                <w:sz w:val="18"/>
                <w:szCs w:val="18"/>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35</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6</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F企业</w:t>
            </w:r>
          </w:p>
        </w:tc>
        <w:tc>
          <w:tcPr>
            <w:tcW w:w="574" w:type="pct"/>
          </w:tcPr>
          <w:p>
            <w:pPr>
              <w:widowControl/>
              <w:adjustRightInd w:val="0"/>
              <w:snapToGrid w:val="0"/>
              <w:ind w:left="-105" w:leftChars="-50" w:right="-105" w:rightChars="-50"/>
              <w:jc w:val="center"/>
              <w:rPr>
                <w:rFonts w:ascii="宋体" w:hAnsi="宋体" w:cs="宋体"/>
                <w:bCs/>
                <w:kern w:val="44"/>
                <w:sz w:val="18"/>
                <w:szCs w:val="18"/>
                <w:highlight w:val="none"/>
              </w:rPr>
            </w:pPr>
            <w:r>
              <w:rPr>
                <w:rFonts w:hint="eastAsia"/>
                <w:sz w:val="18"/>
                <w:szCs w:val="18"/>
                <w:highlight w:val="none"/>
              </w:rPr>
              <w:t>湿法PU</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70</w:t>
            </w:r>
            <w:r>
              <w:rPr>
                <w:bCs/>
                <w:kern w:val="44"/>
                <w:sz w:val="18"/>
                <w:szCs w:val="18"/>
                <w:highlight w:val="none"/>
              </w:rPr>
              <w:t>%</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jc w:val="center"/>
              <w:rPr>
                <w:bCs/>
                <w:kern w:val="44"/>
                <w:sz w:val="18"/>
                <w:szCs w:val="18"/>
                <w:highlight w:val="none"/>
              </w:rPr>
            </w:pPr>
            <w:r>
              <w:rPr>
                <w:rFonts w:hint="eastAsia"/>
                <w:bCs/>
                <w:kern w:val="44"/>
                <w:sz w:val="18"/>
                <w:szCs w:val="18"/>
                <w:highlight w:val="none"/>
              </w:rPr>
              <w:t>未</w:t>
            </w:r>
            <w:r>
              <w:rPr>
                <w:bCs/>
                <w:kern w:val="44"/>
                <w:sz w:val="18"/>
                <w:szCs w:val="18"/>
                <w:highlight w:val="none"/>
              </w:rPr>
              <w:t>回收</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30</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7</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G 企业</w:t>
            </w:r>
          </w:p>
        </w:tc>
        <w:tc>
          <w:tcPr>
            <w:tcW w:w="574" w:type="pct"/>
          </w:tcPr>
          <w:p>
            <w:pPr>
              <w:widowControl/>
              <w:adjustRightInd w:val="0"/>
              <w:snapToGrid w:val="0"/>
              <w:ind w:left="-105" w:leftChars="-50" w:right="-105" w:rightChars="-50"/>
              <w:jc w:val="center"/>
              <w:rPr>
                <w:bCs/>
                <w:kern w:val="44"/>
                <w:sz w:val="18"/>
                <w:szCs w:val="18"/>
                <w:highlight w:val="none"/>
              </w:rPr>
            </w:pPr>
            <w:r>
              <w:rPr>
                <w:rFonts w:hint="eastAsia"/>
                <w:sz w:val="18"/>
                <w:szCs w:val="18"/>
                <w:highlight w:val="none"/>
              </w:rPr>
              <w:t>超纤PU（甲苯</w:t>
            </w:r>
            <w:r>
              <w:rPr>
                <w:sz w:val="18"/>
                <w:szCs w:val="18"/>
                <w:highlight w:val="none"/>
              </w:rPr>
              <w:t>抽出法</w:t>
            </w:r>
            <w:r>
              <w:rPr>
                <w:rFonts w:hint="eastAsia"/>
                <w:sz w:val="18"/>
                <w:szCs w:val="18"/>
                <w:highlight w:val="none"/>
              </w:rPr>
              <w:t>）</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88</w:t>
            </w:r>
            <w:r>
              <w:rPr>
                <w:bCs/>
                <w:kern w:val="44"/>
                <w:sz w:val="18"/>
                <w:szCs w:val="18"/>
                <w:highlight w:val="none"/>
              </w:rPr>
              <w:t>%</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jc w:val="center"/>
              <w:rPr>
                <w:bCs/>
                <w:kern w:val="44"/>
                <w:sz w:val="18"/>
                <w:szCs w:val="18"/>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的补充水源，回收率</w:t>
            </w:r>
            <w:r>
              <w:rPr>
                <w:rFonts w:hint="eastAsia"/>
                <w:bCs/>
                <w:kern w:val="44"/>
                <w:sz w:val="18"/>
                <w:szCs w:val="18"/>
                <w:highlight w:val="none"/>
              </w:rPr>
              <w:t>35</w:t>
            </w:r>
            <w:r>
              <w:rPr>
                <w:bCs/>
                <w:kern w:val="44"/>
                <w:sz w:val="18"/>
                <w:szCs w:val="18"/>
                <w:highlight w:val="none"/>
              </w:rPr>
              <w:t>%</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40</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8</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H企业</w:t>
            </w:r>
          </w:p>
        </w:tc>
        <w:tc>
          <w:tcPr>
            <w:tcW w:w="574" w:type="pct"/>
          </w:tcPr>
          <w:p>
            <w:pPr>
              <w:widowControl/>
              <w:adjustRightInd w:val="0"/>
              <w:snapToGrid w:val="0"/>
              <w:ind w:left="-105" w:leftChars="-50" w:right="-105" w:rightChars="-50"/>
              <w:jc w:val="center"/>
              <w:rPr>
                <w:bCs/>
                <w:kern w:val="44"/>
                <w:sz w:val="18"/>
                <w:szCs w:val="18"/>
                <w:highlight w:val="none"/>
              </w:rPr>
            </w:pPr>
            <w:r>
              <w:rPr>
                <w:rFonts w:hint="eastAsia"/>
                <w:sz w:val="18"/>
                <w:szCs w:val="18"/>
                <w:highlight w:val="none"/>
              </w:rPr>
              <w:t>超纤PU（甲苯</w:t>
            </w:r>
            <w:r>
              <w:rPr>
                <w:sz w:val="18"/>
                <w:szCs w:val="18"/>
                <w:highlight w:val="none"/>
              </w:rPr>
              <w:t>抽出法</w:t>
            </w:r>
            <w:r>
              <w:rPr>
                <w:rFonts w:hint="eastAsia"/>
                <w:sz w:val="18"/>
                <w:szCs w:val="18"/>
                <w:highlight w:val="none"/>
              </w:rPr>
              <w:t>）</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80</w:t>
            </w:r>
            <w:r>
              <w:rPr>
                <w:bCs/>
                <w:kern w:val="44"/>
                <w:sz w:val="18"/>
                <w:szCs w:val="18"/>
                <w:highlight w:val="none"/>
              </w:rPr>
              <w:t>%</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rPr>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30</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9</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I企业</w:t>
            </w:r>
          </w:p>
        </w:tc>
        <w:tc>
          <w:tcPr>
            <w:tcW w:w="574" w:type="pct"/>
          </w:tcPr>
          <w:p>
            <w:pPr>
              <w:widowControl/>
              <w:adjustRightInd w:val="0"/>
              <w:snapToGrid w:val="0"/>
              <w:ind w:left="-105" w:leftChars="-50" w:right="-105" w:rightChars="-50"/>
              <w:jc w:val="center"/>
              <w:rPr>
                <w:bCs/>
                <w:kern w:val="44"/>
                <w:sz w:val="18"/>
                <w:szCs w:val="18"/>
                <w:highlight w:val="none"/>
              </w:rPr>
            </w:pPr>
            <w:r>
              <w:rPr>
                <w:rFonts w:hint="eastAsia"/>
                <w:sz w:val="18"/>
                <w:szCs w:val="18"/>
                <w:highlight w:val="none"/>
              </w:rPr>
              <w:t>超纤PU（碱减量</w:t>
            </w:r>
            <w:r>
              <w:rPr>
                <w:sz w:val="18"/>
                <w:szCs w:val="18"/>
                <w:highlight w:val="none"/>
              </w:rPr>
              <w:t>法</w:t>
            </w:r>
            <w:r>
              <w:rPr>
                <w:rFonts w:hint="eastAsia"/>
                <w:sz w:val="18"/>
                <w:szCs w:val="18"/>
                <w:highlight w:val="none"/>
              </w:rPr>
              <w:t>）</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81</w:t>
            </w:r>
            <w:r>
              <w:rPr>
                <w:bCs/>
                <w:kern w:val="44"/>
                <w:sz w:val="18"/>
                <w:szCs w:val="18"/>
                <w:highlight w:val="none"/>
              </w:rPr>
              <w:t>%</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rPr>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30</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47" w:type="pct"/>
            <w:vAlign w:val="center"/>
          </w:tcPr>
          <w:p>
            <w:pPr>
              <w:widowControl/>
              <w:adjustRightInd w:val="0"/>
              <w:snapToGrid w:val="0"/>
              <w:ind w:left="-105" w:leftChars="-50" w:right="-105" w:rightChars="-50"/>
              <w:jc w:val="center"/>
              <w:rPr>
                <w:kern w:val="0"/>
                <w:sz w:val="18"/>
                <w:szCs w:val="18"/>
                <w:highlight w:val="none"/>
              </w:rPr>
            </w:pPr>
            <w:r>
              <w:rPr>
                <w:kern w:val="0"/>
                <w:sz w:val="18"/>
                <w:szCs w:val="18"/>
                <w:highlight w:val="none"/>
              </w:rPr>
              <w:t>10</w:t>
            </w:r>
          </w:p>
        </w:tc>
        <w:tc>
          <w:tcPr>
            <w:tcW w:w="469" w:type="pct"/>
            <w:vAlign w:val="center"/>
          </w:tcPr>
          <w:p>
            <w:pPr>
              <w:adjustRightInd w:val="0"/>
              <w:snapToGrid w:val="0"/>
              <w:ind w:left="-105" w:leftChars="-50" w:right="-105" w:rightChars="-50"/>
              <w:jc w:val="center"/>
              <w:rPr>
                <w:sz w:val="18"/>
                <w:szCs w:val="18"/>
                <w:highlight w:val="none"/>
              </w:rPr>
            </w:pPr>
            <w:r>
              <w:rPr>
                <w:sz w:val="18"/>
                <w:szCs w:val="18"/>
                <w:highlight w:val="none"/>
              </w:rPr>
              <w:t>J企业</w:t>
            </w:r>
          </w:p>
        </w:tc>
        <w:tc>
          <w:tcPr>
            <w:tcW w:w="574" w:type="pct"/>
          </w:tcPr>
          <w:p>
            <w:pPr>
              <w:widowControl/>
              <w:adjustRightInd w:val="0"/>
              <w:snapToGrid w:val="0"/>
              <w:ind w:left="-105" w:leftChars="-50" w:right="-105" w:rightChars="-50"/>
              <w:jc w:val="center"/>
              <w:rPr>
                <w:bCs/>
                <w:kern w:val="44"/>
                <w:sz w:val="18"/>
                <w:szCs w:val="18"/>
                <w:highlight w:val="none"/>
              </w:rPr>
            </w:pPr>
            <w:r>
              <w:rPr>
                <w:rFonts w:hint="eastAsia"/>
                <w:sz w:val="18"/>
                <w:szCs w:val="18"/>
                <w:highlight w:val="none"/>
              </w:rPr>
              <w:t>超纤PU（碱减量</w:t>
            </w:r>
            <w:r>
              <w:rPr>
                <w:sz w:val="18"/>
                <w:szCs w:val="18"/>
                <w:highlight w:val="none"/>
              </w:rPr>
              <w:t>法</w:t>
            </w:r>
            <w:r>
              <w:rPr>
                <w:rFonts w:hint="eastAsia"/>
                <w:sz w:val="18"/>
                <w:szCs w:val="18"/>
                <w:highlight w:val="none"/>
              </w:rPr>
              <w:t>）</w:t>
            </w:r>
          </w:p>
        </w:tc>
        <w:tc>
          <w:tcPr>
            <w:tcW w:w="300" w:type="pct"/>
          </w:tcPr>
          <w:p>
            <w:pPr>
              <w:rPr>
                <w:highlight w:val="none"/>
              </w:rPr>
            </w:pPr>
            <w:r>
              <w:rPr>
                <w:rFonts w:hint="eastAsia"/>
                <w:bCs/>
                <w:kern w:val="44"/>
                <w:sz w:val="18"/>
                <w:szCs w:val="18"/>
                <w:highlight w:val="none"/>
              </w:rPr>
              <w:t>符合</w:t>
            </w:r>
            <w:r>
              <w:rPr>
                <w:bCs/>
                <w:kern w:val="44"/>
                <w:sz w:val="18"/>
                <w:szCs w:val="18"/>
                <w:highlight w:val="none"/>
              </w:rPr>
              <w:t>要求</w:t>
            </w:r>
          </w:p>
        </w:tc>
        <w:tc>
          <w:tcPr>
            <w:tcW w:w="587" w:type="pct"/>
            <w:vAlign w:val="center"/>
          </w:tcPr>
          <w:p>
            <w:pPr>
              <w:jc w:val="center"/>
              <w:rPr>
                <w:highlight w:val="none"/>
              </w:rPr>
            </w:pPr>
            <w:r>
              <w:rPr>
                <w:rFonts w:hint="eastAsia"/>
                <w:bCs/>
                <w:kern w:val="44"/>
                <w:sz w:val="18"/>
                <w:szCs w:val="18"/>
                <w:highlight w:val="none"/>
              </w:rPr>
              <w:t>设置</w:t>
            </w:r>
            <w:r>
              <w:rPr>
                <w:bCs/>
                <w:kern w:val="44"/>
                <w:sz w:val="18"/>
                <w:szCs w:val="18"/>
                <w:highlight w:val="none"/>
              </w:rPr>
              <w:t>精馏塔</w:t>
            </w:r>
            <w:r>
              <w:rPr>
                <w:rFonts w:hint="eastAsia"/>
                <w:bCs/>
                <w:kern w:val="44"/>
                <w:sz w:val="18"/>
                <w:szCs w:val="18"/>
                <w:highlight w:val="none"/>
              </w:rPr>
              <w:t>，</w:t>
            </w:r>
            <w:r>
              <w:rPr>
                <w:bCs/>
                <w:kern w:val="44"/>
                <w:sz w:val="18"/>
                <w:szCs w:val="18"/>
                <w:highlight w:val="none"/>
              </w:rPr>
              <w:t>全厂回收率</w:t>
            </w:r>
            <w:r>
              <w:rPr>
                <w:rFonts w:hint="eastAsia"/>
                <w:bCs/>
                <w:kern w:val="44"/>
                <w:sz w:val="18"/>
                <w:szCs w:val="18"/>
                <w:highlight w:val="none"/>
              </w:rPr>
              <w:t>78%</w:t>
            </w:r>
          </w:p>
        </w:tc>
        <w:tc>
          <w:tcPr>
            <w:tcW w:w="586" w:type="pct"/>
          </w:tcPr>
          <w:p>
            <w:pPr>
              <w:jc w:val="center"/>
              <w:rPr>
                <w:bCs/>
                <w:kern w:val="44"/>
                <w:sz w:val="18"/>
                <w:szCs w:val="18"/>
                <w:highlight w:val="none"/>
              </w:rPr>
            </w:pPr>
            <w:r>
              <w:rPr>
                <w:rFonts w:hint="eastAsia"/>
                <w:bCs/>
                <w:kern w:val="44"/>
                <w:sz w:val="18"/>
                <w:szCs w:val="18"/>
                <w:highlight w:val="none"/>
              </w:rPr>
              <w:t>100</w:t>
            </w:r>
            <w:r>
              <w:rPr>
                <w:bCs/>
                <w:kern w:val="44"/>
                <w:sz w:val="18"/>
                <w:szCs w:val="18"/>
                <w:highlight w:val="none"/>
              </w:rPr>
              <w:t>%回用</w:t>
            </w:r>
          </w:p>
        </w:tc>
        <w:tc>
          <w:tcPr>
            <w:tcW w:w="586" w:type="pct"/>
          </w:tcPr>
          <w:p>
            <w:pPr>
              <w:adjustRightInd w:val="0"/>
              <w:snapToGrid w:val="0"/>
              <w:jc w:val="center"/>
              <w:rPr>
                <w:bCs/>
                <w:kern w:val="44"/>
                <w:sz w:val="18"/>
                <w:szCs w:val="18"/>
                <w:highlight w:val="none"/>
              </w:rPr>
            </w:pPr>
            <w:r>
              <w:rPr>
                <w:rFonts w:hint="eastAsia"/>
                <w:bCs/>
                <w:kern w:val="44"/>
                <w:sz w:val="18"/>
                <w:szCs w:val="18"/>
                <w:highlight w:val="none"/>
              </w:rPr>
              <w:t>/</w:t>
            </w:r>
          </w:p>
        </w:tc>
        <w:tc>
          <w:tcPr>
            <w:tcW w:w="584" w:type="pct"/>
          </w:tcPr>
          <w:p>
            <w:pPr>
              <w:rPr>
                <w:highlight w:val="none"/>
              </w:rPr>
            </w:pPr>
            <w:r>
              <w:rPr>
                <w:rFonts w:hint="eastAsia"/>
                <w:bCs/>
                <w:kern w:val="44"/>
                <w:sz w:val="18"/>
                <w:szCs w:val="18"/>
                <w:highlight w:val="none"/>
              </w:rPr>
              <w:t>作为凝固槽</w:t>
            </w:r>
            <w:r>
              <w:rPr>
                <w:bCs/>
                <w:kern w:val="44"/>
                <w:sz w:val="18"/>
                <w:szCs w:val="18"/>
                <w:highlight w:val="none"/>
              </w:rPr>
              <w:t>或者</w:t>
            </w:r>
            <w:r>
              <w:rPr>
                <w:rFonts w:hint="eastAsia"/>
                <w:bCs/>
                <w:kern w:val="44"/>
                <w:sz w:val="18"/>
                <w:szCs w:val="18"/>
                <w:highlight w:val="none"/>
              </w:rPr>
              <w:t>含浸槽</w:t>
            </w:r>
            <w:r>
              <w:rPr>
                <w:bCs/>
                <w:kern w:val="44"/>
                <w:sz w:val="18"/>
                <w:szCs w:val="18"/>
                <w:highlight w:val="none"/>
              </w:rPr>
              <w:t>的补充水源</w:t>
            </w:r>
          </w:p>
        </w:tc>
        <w:tc>
          <w:tcPr>
            <w:tcW w:w="584" w:type="pct"/>
          </w:tcPr>
          <w:p>
            <w:pPr>
              <w:jc w:val="center"/>
              <w:rPr>
                <w:bCs/>
                <w:kern w:val="44"/>
                <w:sz w:val="18"/>
                <w:szCs w:val="18"/>
                <w:highlight w:val="none"/>
              </w:rPr>
            </w:pPr>
            <w:r>
              <w:rPr>
                <w:rFonts w:hint="eastAsia"/>
                <w:bCs/>
                <w:kern w:val="44"/>
                <w:sz w:val="18"/>
                <w:szCs w:val="18"/>
                <w:highlight w:val="none"/>
              </w:rPr>
              <w:t>回用</w:t>
            </w:r>
            <w:r>
              <w:rPr>
                <w:bCs/>
                <w:kern w:val="44"/>
                <w:sz w:val="18"/>
                <w:szCs w:val="18"/>
                <w:highlight w:val="none"/>
              </w:rPr>
              <w:t>，回收率</w:t>
            </w:r>
            <w:r>
              <w:rPr>
                <w:rFonts w:hint="eastAsia"/>
                <w:bCs/>
                <w:kern w:val="44"/>
                <w:sz w:val="18"/>
                <w:szCs w:val="18"/>
                <w:highlight w:val="none"/>
              </w:rPr>
              <w:t>28</w:t>
            </w:r>
            <w:r>
              <w:rPr>
                <w:bCs/>
                <w:kern w:val="44"/>
                <w:sz w:val="18"/>
                <w:szCs w:val="18"/>
                <w:highlight w:val="none"/>
              </w:rPr>
              <w:t>%</w:t>
            </w:r>
          </w:p>
        </w:tc>
        <w:tc>
          <w:tcPr>
            <w:tcW w:w="583" w:type="pct"/>
            <w:vAlign w:val="center"/>
          </w:tcPr>
          <w:p>
            <w:pPr>
              <w:jc w:val="center"/>
              <w:rPr>
                <w:highlight w:val="none"/>
              </w:rPr>
            </w:pPr>
            <w:r>
              <w:rPr>
                <w:rFonts w:hint="eastAsia"/>
                <w:bCs/>
                <w:kern w:val="44"/>
                <w:sz w:val="18"/>
                <w:szCs w:val="18"/>
                <w:highlight w:val="none"/>
              </w:rPr>
              <w:t>符合</w:t>
            </w:r>
            <w:r>
              <w:rPr>
                <w:bCs/>
                <w:kern w:val="44"/>
                <w:sz w:val="18"/>
                <w:szCs w:val="18"/>
                <w:highlight w:val="none"/>
              </w:rPr>
              <w:t>要求</w:t>
            </w:r>
          </w:p>
        </w:tc>
      </w:tr>
    </w:tbl>
    <w:p>
      <w:pPr>
        <w:pStyle w:val="10"/>
        <w:spacing w:line="360" w:lineRule="auto"/>
        <w:jc w:val="both"/>
        <w:rPr>
          <w:rFonts w:ascii="Times New Roman"/>
          <w:sz w:val="18"/>
          <w:szCs w:val="18"/>
          <w:highlight w:val="none"/>
        </w:rPr>
        <w:sectPr>
          <w:pgSz w:w="16838" w:h="11906" w:orient="landscape"/>
          <w:pgMar w:top="1180" w:right="1440" w:bottom="1800" w:left="1440" w:header="851" w:footer="992" w:gutter="0"/>
          <w:cols w:space="425" w:num="1"/>
          <w:docGrid w:type="lines" w:linePitch="312" w:charSpace="0"/>
        </w:sectPr>
      </w:pPr>
      <w:r>
        <w:rPr>
          <w:rFonts w:hint="eastAsia" w:ascii="Times New Roman"/>
          <w:sz w:val="18"/>
          <w:szCs w:val="18"/>
          <w:highlight w:val="none"/>
        </w:rPr>
        <w:t>注</w:t>
      </w:r>
      <w:r>
        <w:rPr>
          <w:rFonts w:ascii="Times New Roman"/>
          <w:sz w:val="18"/>
          <w:szCs w:val="18"/>
          <w:highlight w:val="none"/>
        </w:rPr>
        <w:t>：</w:t>
      </w:r>
      <w:r>
        <w:rPr>
          <w:rFonts w:hint="eastAsia" w:ascii="Times New Roman"/>
          <w:sz w:val="18"/>
          <w:szCs w:val="18"/>
          <w:highlight w:val="none"/>
        </w:rPr>
        <w:t>表中高</w:t>
      </w:r>
      <w:r>
        <w:rPr>
          <w:rFonts w:ascii="Times New Roman"/>
          <w:sz w:val="18"/>
          <w:szCs w:val="18"/>
          <w:highlight w:val="none"/>
        </w:rPr>
        <w:t>DMF</w:t>
      </w:r>
      <w:r>
        <w:rPr>
          <w:rFonts w:hint="eastAsia" w:ascii="Times New Roman"/>
          <w:sz w:val="18"/>
          <w:szCs w:val="18"/>
          <w:highlight w:val="none"/>
        </w:rPr>
        <w:t>废水</w:t>
      </w:r>
      <w:r>
        <w:rPr>
          <w:rFonts w:ascii="Times New Roman"/>
          <w:sz w:val="18"/>
          <w:szCs w:val="18"/>
          <w:highlight w:val="none"/>
        </w:rPr>
        <w:t>是指</w:t>
      </w:r>
      <w:r>
        <w:rPr>
          <w:rFonts w:hint="eastAsia" w:ascii="Times New Roman"/>
          <w:sz w:val="18"/>
          <w:szCs w:val="18"/>
          <w:highlight w:val="none"/>
        </w:rPr>
        <w:t>DMF含量超过20</w:t>
      </w:r>
      <w:r>
        <w:rPr>
          <w:rFonts w:ascii="Times New Roman"/>
          <w:sz w:val="18"/>
          <w:szCs w:val="18"/>
          <w:highlight w:val="none"/>
        </w:rPr>
        <w:t>%的废水</w:t>
      </w:r>
    </w:p>
    <w:p>
      <w:pPr>
        <w:pStyle w:val="10"/>
        <w:spacing w:line="360" w:lineRule="auto"/>
        <w:ind w:left="480"/>
        <w:jc w:val="both"/>
        <w:rPr>
          <w:rFonts w:ascii="Times New Roman"/>
          <w:sz w:val="24"/>
          <w:szCs w:val="24"/>
          <w:highlight w:val="yellow"/>
        </w:rPr>
      </w:pPr>
    </w:p>
    <w:p>
      <w:pPr>
        <w:pStyle w:val="10"/>
        <w:numPr>
          <w:ilvl w:val="0"/>
          <w:numId w:val="1"/>
        </w:numPr>
        <w:spacing w:line="360" w:lineRule="auto"/>
        <w:jc w:val="both"/>
        <w:outlineLvl w:val="0"/>
        <w:rPr>
          <w:rFonts w:ascii="Times New Roman"/>
          <w:sz w:val="24"/>
          <w:szCs w:val="24"/>
        </w:rPr>
      </w:pPr>
      <w:bookmarkStart w:id="13" w:name="_Toc23769794"/>
      <w:r>
        <w:rPr>
          <w:rFonts w:ascii="Times New Roman"/>
          <w:sz w:val="24"/>
          <w:szCs w:val="24"/>
        </w:rPr>
        <w:t>标准中涉及专利的情况</w:t>
      </w:r>
      <w:bookmarkEnd w:id="13"/>
    </w:p>
    <w:p>
      <w:pPr>
        <w:spacing w:line="360" w:lineRule="auto"/>
        <w:ind w:firstLine="480" w:firstLineChars="200"/>
        <w:jc w:val="left"/>
        <w:rPr>
          <w:kern w:val="0"/>
          <w:sz w:val="24"/>
        </w:rPr>
      </w:pPr>
      <w:r>
        <w:rPr>
          <w:kern w:val="0"/>
          <w:sz w:val="24"/>
        </w:rPr>
        <w:t>本标准不涉及专利问题。</w:t>
      </w:r>
    </w:p>
    <w:p>
      <w:pPr>
        <w:pStyle w:val="10"/>
        <w:numPr>
          <w:ilvl w:val="0"/>
          <w:numId w:val="1"/>
        </w:numPr>
        <w:spacing w:line="360" w:lineRule="auto"/>
        <w:jc w:val="both"/>
        <w:outlineLvl w:val="0"/>
        <w:rPr>
          <w:rFonts w:ascii="Times New Roman"/>
          <w:sz w:val="24"/>
          <w:szCs w:val="24"/>
        </w:rPr>
      </w:pPr>
      <w:bookmarkStart w:id="14" w:name="_Toc23769795"/>
      <w:r>
        <w:rPr>
          <w:rFonts w:ascii="Times New Roman"/>
          <w:sz w:val="24"/>
          <w:szCs w:val="24"/>
        </w:rPr>
        <w:t>预期达到的社会效益、对产业发展的作用等情况</w:t>
      </w:r>
      <w:bookmarkEnd w:id="14"/>
    </w:p>
    <w:p>
      <w:pPr>
        <w:spacing w:line="360" w:lineRule="auto"/>
        <w:rPr>
          <w:b/>
          <w:sz w:val="24"/>
        </w:rPr>
      </w:pPr>
      <w:r>
        <w:rPr>
          <w:b/>
          <w:sz w:val="24"/>
        </w:rPr>
        <w:t>1</w:t>
      </w:r>
      <w:r>
        <w:rPr>
          <w:rFonts w:hint="eastAsia"/>
          <w:b/>
          <w:sz w:val="24"/>
        </w:rPr>
        <w:t>、</w:t>
      </w:r>
      <w:r>
        <w:rPr>
          <w:b/>
          <w:sz w:val="24"/>
        </w:rPr>
        <w:t xml:space="preserve"> 标准实施后预期达到的社会效益</w:t>
      </w:r>
    </w:p>
    <w:p>
      <w:pPr>
        <w:spacing w:line="360" w:lineRule="auto"/>
        <w:ind w:firstLine="480" w:firstLineChars="200"/>
        <w:rPr>
          <w:sz w:val="24"/>
        </w:rPr>
      </w:pPr>
      <w:r>
        <w:rPr>
          <w:sz w:val="24"/>
        </w:rPr>
        <w:t>目前，我国已成为世界上人造革合成革生产第一大国、消费大国和进出口贸易大国。 本标准实施后，对于提高我国人造革合成革行业</w:t>
      </w:r>
      <w:r>
        <w:rPr>
          <w:rFonts w:hint="eastAsia"/>
          <w:sz w:val="24"/>
        </w:rPr>
        <w:t>的</w:t>
      </w:r>
      <w:r>
        <w:rPr>
          <w:sz w:val="24"/>
        </w:rPr>
        <w:t>废水回收利用技术水平，提高</w:t>
      </w:r>
      <w:r>
        <w:rPr>
          <w:rFonts w:hint="eastAsia"/>
          <w:sz w:val="24"/>
        </w:rPr>
        <w:t>水的</w:t>
      </w:r>
      <w:r>
        <w:rPr>
          <w:sz w:val="24"/>
        </w:rPr>
        <w:t>回收利用效率，推动人造革合成革行业健康可持续发展，乃至创建节水型社会有着重要意义。</w:t>
      </w:r>
    </w:p>
    <w:p>
      <w:pPr>
        <w:spacing w:line="360" w:lineRule="auto"/>
        <w:rPr>
          <w:b/>
          <w:sz w:val="24"/>
        </w:rPr>
      </w:pPr>
      <w:r>
        <w:rPr>
          <w:b/>
          <w:sz w:val="24"/>
        </w:rPr>
        <w:t>2</w:t>
      </w:r>
      <w:r>
        <w:rPr>
          <w:rFonts w:hint="eastAsia"/>
          <w:b/>
          <w:sz w:val="24"/>
        </w:rPr>
        <w:t>、</w:t>
      </w:r>
      <w:r>
        <w:rPr>
          <w:b/>
          <w:sz w:val="24"/>
        </w:rPr>
        <w:t xml:space="preserve"> 标准实施后对产业发展的作用</w:t>
      </w:r>
    </w:p>
    <w:p>
      <w:pPr>
        <w:spacing w:line="360" w:lineRule="auto"/>
        <w:ind w:firstLine="480" w:firstLineChars="200"/>
        <w:rPr>
          <w:sz w:val="24"/>
        </w:rPr>
      </w:pPr>
      <w:r>
        <w:rPr>
          <w:sz w:val="24"/>
        </w:rPr>
        <w:t>本标准的实施可促进人造革合成革行业节水技术的大力推广，直接推动企业</w:t>
      </w:r>
      <w:r>
        <w:rPr>
          <w:rFonts w:hint="eastAsia"/>
          <w:sz w:val="24"/>
        </w:rPr>
        <w:t>废水回收</w:t>
      </w:r>
      <w:r>
        <w:rPr>
          <w:sz w:val="24"/>
        </w:rPr>
        <w:t>利用工作。本标准实施后，对于提高人造革合成革行业整体的</w:t>
      </w:r>
      <w:r>
        <w:rPr>
          <w:rFonts w:hint="eastAsia"/>
          <w:sz w:val="24"/>
        </w:rPr>
        <w:t>废水回收</w:t>
      </w:r>
      <w:r>
        <w:rPr>
          <w:sz w:val="24"/>
        </w:rPr>
        <w:t>利用技术水平具有重要意义。预期企业经济效益和社会效益显著。</w:t>
      </w:r>
    </w:p>
    <w:p>
      <w:pPr>
        <w:pStyle w:val="10"/>
        <w:numPr>
          <w:ilvl w:val="0"/>
          <w:numId w:val="1"/>
        </w:numPr>
        <w:spacing w:line="360" w:lineRule="auto"/>
        <w:jc w:val="both"/>
        <w:outlineLvl w:val="0"/>
        <w:rPr>
          <w:rFonts w:ascii="Times New Roman"/>
          <w:sz w:val="24"/>
          <w:szCs w:val="24"/>
        </w:rPr>
      </w:pPr>
      <w:bookmarkStart w:id="15" w:name="_Toc23769796"/>
      <w:r>
        <w:rPr>
          <w:rFonts w:ascii="Times New Roman"/>
          <w:sz w:val="24"/>
          <w:szCs w:val="24"/>
        </w:rPr>
        <w:t>与国际、国外对比情况</w:t>
      </w:r>
      <w:bookmarkEnd w:id="15"/>
    </w:p>
    <w:p>
      <w:pPr>
        <w:autoSpaceDE w:val="0"/>
        <w:autoSpaceDN w:val="0"/>
        <w:adjustRightInd w:val="0"/>
        <w:spacing w:line="360" w:lineRule="auto"/>
        <w:ind w:firstLine="480"/>
        <w:jc w:val="left"/>
        <w:rPr>
          <w:sz w:val="24"/>
        </w:rPr>
      </w:pPr>
      <w:r>
        <w:rPr>
          <w:sz w:val="24"/>
        </w:rPr>
        <w:t>本标准没有采用国际标准。</w:t>
      </w:r>
    </w:p>
    <w:p>
      <w:pPr>
        <w:autoSpaceDE w:val="0"/>
        <w:autoSpaceDN w:val="0"/>
        <w:adjustRightInd w:val="0"/>
        <w:spacing w:line="360" w:lineRule="auto"/>
        <w:ind w:firstLine="480"/>
        <w:jc w:val="left"/>
        <w:rPr>
          <w:sz w:val="24"/>
        </w:rPr>
      </w:pPr>
      <w:r>
        <w:rPr>
          <w:sz w:val="24"/>
        </w:rPr>
        <w:t>本标准制订过程中未查到同类国际、国外标准。</w:t>
      </w:r>
    </w:p>
    <w:p>
      <w:pPr>
        <w:autoSpaceDE w:val="0"/>
        <w:autoSpaceDN w:val="0"/>
        <w:adjustRightInd w:val="0"/>
        <w:spacing w:line="360" w:lineRule="auto"/>
        <w:ind w:firstLine="480"/>
        <w:jc w:val="left"/>
        <w:rPr>
          <w:sz w:val="24"/>
        </w:rPr>
      </w:pPr>
      <w:r>
        <w:rPr>
          <w:sz w:val="24"/>
        </w:rPr>
        <w:t>本标准制订过程中未测试国外的样品。</w:t>
      </w:r>
    </w:p>
    <w:p>
      <w:pPr>
        <w:autoSpaceDE w:val="0"/>
        <w:autoSpaceDN w:val="0"/>
        <w:adjustRightInd w:val="0"/>
        <w:spacing w:line="360" w:lineRule="auto"/>
        <w:ind w:firstLine="480"/>
        <w:jc w:val="left"/>
        <w:rPr>
          <w:sz w:val="24"/>
        </w:rPr>
      </w:pPr>
      <w:r>
        <w:rPr>
          <w:sz w:val="24"/>
        </w:rPr>
        <w:t>本标准水平为国内先进水平。</w:t>
      </w:r>
    </w:p>
    <w:p>
      <w:pPr>
        <w:pStyle w:val="10"/>
        <w:numPr>
          <w:ilvl w:val="0"/>
          <w:numId w:val="1"/>
        </w:numPr>
        <w:spacing w:line="360" w:lineRule="auto"/>
        <w:jc w:val="both"/>
        <w:outlineLvl w:val="0"/>
        <w:rPr>
          <w:rFonts w:ascii="Times New Roman"/>
          <w:sz w:val="24"/>
          <w:szCs w:val="24"/>
        </w:rPr>
      </w:pPr>
      <w:bookmarkStart w:id="16" w:name="_Toc23769797"/>
      <w:r>
        <w:rPr>
          <w:rFonts w:ascii="Times New Roman"/>
          <w:sz w:val="24"/>
          <w:szCs w:val="24"/>
        </w:rPr>
        <w:t>在标准体系中的位置，与现行相关法律、法规、规章及相关标准，特别是强制性标准的协调性</w:t>
      </w:r>
      <w:bookmarkEnd w:id="16"/>
    </w:p>
    <w:p>
      <w:pPr>
        <w:spacing w:line="360" w:lineRule="auto"/>
        <w:ind w:firstLine="360" w:firstLineChars="150"/>
      </w:pPr>
      <w:r>
        <w:rPr>
          <w:rFonts w:hint="eastAsia"/>
          <w:sz w:val="24"/>
        </w:rPr>
        <w:t>本专业领域的标准体系框架如图1所示。</w:t>
      </w:r>
    </w:p>
    <w:p>
      <w:pPr>
        <w:spacing w:before="156" w:beforeLines="50" w:after="156" w:afterLines="50" w:line="360" w:lineRule="auto"/>
      </w:pPr>
      <w:r>
        <w:rPr>
          <w:rFonts w:hint="eastAsia"/>
        </w:rPr>
        <w:drawing>
          <wp:inline distT="0" distB="0" distL="0" distR="0">
            <wp:extent cx="5543550" cy="33077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46357" cy="3309761"/>
                    </a:xfrm>
                    <a:prstGeom prst="rect">
                      <a:avLst/>
                    </a:prstGeom>
                    <a:noFill/>
                    <a:ln>
                      <a:noFill/>
                    </a:ln>
                  </pic:spPr>
                </pic:pic>
              </a:graphicData>
            </a:graphic>
          </wp:inline>
        </w:drawing>
      </w:r>
    </w:p>
    <w:p>
      <w:pPr>
        <w:spacing w:before="156" w:beforeLines="50" w:after="156" w:afterLines="50" w:line="360" w:lineRule="auto"/>
        <w:jc w:val="center"/>
        <w:rPr>
          <w:b/>
          <w:szCs w:val="21"/>
        </w:rPr>
      </w:pPr>
      <w:r>
        <w:rPr>
          <w:rFonts w:hint="eastAsia"/>
          <w:b/>
          <w:szCs w:val="21"/>
        </w:rPr>
        <w:t>图1  本专业领域的标准体系框架</w:t>
      </w:r>
    </w:p>
    <w:p>
      <w:pPr>
        <w:snapToGrid w:val="0"/>
        <w:spacing w:line="360" w:lineRule="auto"/>
        <w:ind w:firstLine="480" w:firstLineChars="200"/>
        <w:rPr>
          <w:sz w:val="24"/>
        </w:rPr>
      </w:pPr>
      <w:r>
        <w:rPr>
          <w:rFonts w:hint="eastAsia" w:hAnsi="Calibri"/>
          <w:sz w:val="24"/>
        </w:rPr>
        <w:t>本标准申报项目在体系中的位置属于节能与综合利用领域标准体系里</w:t>
      </w:r>
      <w:r>
        <w:rPr>
          <w:rFonts w:hAnsi="Calibri"/>
          <w:sz w:val="24"/>
        </w:rPr>
        <w:t>5</w:t>
      </w:r>
      <w:r>
        <w:rPr>
          <w:rFonts w:hint="eastAsia" w:hAnsi="Calibri"/>
          <w:sz w:val="24"/>
        </w:rPr>
        <w:t>“资源综合</w:t>
      </w:r>
      <w:r>
        <w:rPr>
          <w:rFonts w:hAnsi="Calibri"/>
          <w:sz w:val="24"/>
        </w:rPr>
        <w:t>利用</w:t>
      </w:r>
      <w:r>
        <w:rPr>
          <w:rFonts w:hint="eastAsia" w:hAnsi="Calibri"/>
          <w:sz w:val="24"/>
        </w:rPr>
        <w:t>标准分体系”中类，</w:t>
      </w:r>
      <w:r>
        <w:rPr>
          <w:rFonts w:hAnsi="Calibri"/>
          <w:sz w:val="24"/>
        </w:rPr>
        <w:t>5.2</w:t>
      </w:r>
      <w:r>
        <w:rPr>
          <w:rFonts w:hint="eastAsia" w:hAnsi="Calibri"/>
          <w:sz w:val="24"/>
        </w:rPr>
        <w:t>“工业三废</w:t>
      </w:r>
      <w:r>
        <w:rPr>
          <w:rFonts w:hAnsi="Calibri"/>
          <w:sz w:val="24"/>
        </w:rPr>
        <w:t>综合利用</w:t>
      </w:r>
      <w:r>
        <w:rPr>
          <w:rFonts w:hint="eastAsia" w:hAnsi="Calibri"/>
          <w:sz w:val="24"/>
        </w:rPr>
        <w:t>”小类。</w:t>
      </w:r>
      <w:r>
        <w:rPr>
          <w:sz w:val="24"/>
        </w:rPr>
        <w:t>本标准与现行相关法律、法规、规章及相关标准协调一致。</w:t>
      </w:r>
    </w:p>
    <w:p>
      <w:pPr>
        <w:pStyle w:val="10"/>
        <w:numPr>
          <w:ilvl w:val="0"/>
          <w:numId w:val="1"/>
        </w:numPr>
        <w:spacing w:line="360" w:lineRule="auto"/>
        <w:jc w:val="both"/>
        <w:outlineLvl w:val="0"/>
        <w:rPr>
          <w:rFonts w:ascii="Times New Roman"/>
          <w:sz w:val="24"/>
          <w:szCs w:val="24"/>
        </w:rPr>
      </w:pPr>
      <w:bookmarkStart w:id="17" w:name="_Toc23769798"/>
      <w:r>
        <w:rPr>
          <w:rFonts w:ascii="Times New Roman"/>
          <w:sz w:val="24"/>
          <w:szCs w:val="24"/>
        </w:rPr>
        <w:t>重大分歧意见的处理经过和依据</w:t>
      </w:r>
      <w:bookmarkEnd w:id="17"/>
    </w:p>
    <w:p>
      <w:pPr>
        <w:ind w:firstLine="600" w:firstLineChars="250"/>
        <w:rPr>
          <w:sz w:val="24"/>
        </w:rPr>
      </w:pPr>
      <w:r>
        <w:rPr>
          <w:sz w:val="24"/>
        </w:rPr>
        <w:t>无。</w:t>
      </w:r>
    </w:p>
    <w:p>
      <w:pPr>
        <w:pStyle w:val="10"/>
        <w:numPr>
          <w:ilvl w:val="0"/>
          <w:numId w:val="1"/>
        </w:numPr>
        <w:spacing w:line="360" w:lineRule="auto"/>
        <w:jc w:val="both"/>
        <w:outlineLvl w:val="0"/>
        <w:rPr>
          <w:rFonts w:ascii="Times New Roman"/>
          <w:sz w:val="24"/>
          <w:szCs w:val="24"/>
        </w:rPr>
      </w:pPr>
      <w:bookmarkStart w:id="18" w:name="_Toc23769799"/>
      <w:r>
        <w:rPr>
          <w:rFonts w:ascii="Times New Roman"/>
          <w:sz w:val="24"/>
          <w:szCs w:val="24"/>
        </w:rPr>
        <w:t>标准性质的建议说明</w:t>
      </w:r>
      <w:bookmarkEnd w:id="18"/>
    </w:p>
    <w:p>
      <w:pPr>
        <w:ind w:firstLine="480" w:firstLineChars="200"/>
        <w:jc w:val="left"/>
        <w:rPr>
          <w:sz w:val="24"/>
        </w:rPr>
      </w:pPr>
      <w:r>
        <w:rPr>
          <w:sz w:val="24"/>
        </w:rPr>
        <w:t>建议本标准的性质为推荐性行业标准。</w:t>
      </w:r>
    </w:p>
    <w:p>
      <w:pPr>
        <w:pStyle w:val="10"/>
        <w:numPr>
          <w:ilvl w:val="0"/>
          <w:numId w:val="1"/>
        </w:numPr>
        <w:spacing w:line="360" w:lineRule="auto"/>
        <w:jc w:val="both"/>
        <w:outlineLvl w:val="0"/>
        <w:rPr>
          <w:rFonts w:ascii="Times New Roman"/>
          <w:sz w:val="24"/>
          <w:szCs w:val="24"/>
        </w:rPr>
      </w:pPr>
      <w:bookmarkStart w:id="19" w:name="_Toc23769800"/>
      <w:r>
        <w:rPr>
          <w:rFonts w:ascii="Times New Roman"/>
          <w:sz w:val="24"/>
          <w:szCs w:val="24"/>
        </w:rPr>
        <w:t>贯彻标准的要求和措施建议</w:t>
      </w:r>
      <w:bookmarkEnd w:id="19"/>
    </w:p>
    <w:p>
      <w:pPr>
        <w:snapToGrid w:val="0"/>
        <w:spacing w:line="360" w:lineRule="auto"/>
        <w:ind w:firstLine="480" w:firstLineChars="200"/>
        <w:rPr>
          <w:b/>
          <w:bCs/>
          <w:sz w:val="24"/>
        </w:rPr>
      </w:pPr>
      <w:r>
        <w:rPr>
          <w:sz w:val="24"/>
        </w:rPr>
        <w:t>由中国轻工业联合会和中国塑协人造革合成革专业委员会共同组织宣贯实施，企业可按照行业标准的规定和要求对企业内部标准进行修订，或根据行业标准实施时间要求拟订企标整改过渡措施。</w:t>
      </w:r>
    </w:p>
    <w:p>
      <w:pPr>
        <w:pStyle w:val="10"/>
        <w:numPr>
          <w:ilvl w:val="0"/>
          <w:numId w:val="1"/>
        </w:numPr>
        <w:spacing w:line="360" w:lineRule="auto"/>
        <w:jc w:val="both"/>
        <w:outlineLvl w:val="0"/>
        <w:rPr>
          <w:rFonts w:ascii="Times New Roman"/>
          <w:sz w:val="24"/>
          <w:szCs w:val="24"/>
        </w:rPr>
      </w:pPr>
      <w:bookmarkStart w:id="20" w:name="_Toc23769801"/>
      <w:r>
        <w:rPr>
          <w:rFonts w:ascii="Times New Roman"/>
          <w:sz w:val="24"/>
          <w:szCs w:val="24"/>
        </w:rPr>
        <w:t>废止现行相关标准的建议</w:t>
      </w:r>
      <w:bookmarkEnd w:id="20"/>
    </w:p>
    <w:p>
      <w:pPr>
        <w:pStyle w:val="5"/>
        <w:rPr>
          <w:rFonts w:ascii="Times New Roman" w:eastAsia="宋体"/>
          <w:sz w:val="24"/>
          <w:szCs w:val="24"/>
        </w:rPr>
      </w:pPr>
      <w:r>
        <w:rPr>
          <w:rFonts w:ascii="Times New Roman" w:eastAsia="宋体"/>
          <w:sz w:val="24"/>
          <w:szCs w:val="24"/>
        </w:rPr>
        <w:t>无。</w:t>
      </w:r>
    </w:p>
    <w:p>
      <w:pPr>
        <w:pStyle w:val="10"/>
        <w:numPr>
          <w:ilvl w:val="0"/>
          <w:numId w:val="1"/>
        </w:numPr>
        <w:spacing w:line="360" w:lineRule="auto"/>
        <w:jc w:val="both"/>
        <w:outlineLvl w:val="0"/>
        <w:rPr>
          <w:rFonts w:ascii="Times New Roman"/>
          <w:sz w:val="24"/>
          <w:szCs w:val="24"/>
        </w:rPr>
      </w:pPr>
      <w:bookmarkStart w:id="21" w:name="_Toc23769802"/>
      <w:r>
        <w:rPr>
          <w:rFonts w:ascii="Times New Roman"/>
          <w:sz w:val="24"/>
          <w:szCs w:val="24"/>
        </w:rPr>
        <w:t>其他应予说明的事项</w:t>
      </w:r>
      <w:bookmarkEnd w:id="21"/>
    </w:p>
    <w:p>
      <w:pPr>
        <w:pStyle w:val="5"/>
        <w:rPr>
          <w:rFonts w:ascii="Times New Roman" w:eastAsia="宋体"/>
          <w:sz w:val="24"/>
          <w:szCs w:val="24"/>
        </w:rPr>
      </w:pPr>
      <w:r>
        <w:rPr>
          <w:rFonts w:ascii="Times New Roman" w:eastAsia="宋体"/>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18D1342F"/>
    <w:multiLevelType w:val="multilevel"/>
    <w:tmpl w:val="18D1342F"/>
    <w:lvl w:ilvl="0" w:tentative="0">
      <w:start w:val="1"/>
      <w:numFmt w:val="japaneseCounting"/>
      <w:pStyle w:val="20"/>
      <w:lvlText w:val="%1、"/>
      <w:lvlJc w:val="left"/>
      <w:pPr>
        <w:tabs>
          <w:tab w:val="left" w:pos="480"/>
        </w:tabs>
        <w:ind w:left="480" w:hanging="480"/>
      </w:pPr>
      <w:rPr>
        <w:rFonts w:ascii="黑体" w:hAnsi="宋体" w:eastAsia="黑体" w:cs="Times New Roman"/>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43C77C9"/>
    <w:multiLevelType w:val="multilevel"/>
    <w:tmpl w:val="743C77C9"/>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E0"/>
    <w:rsid w:val="00004B5B"/>
    <w:rsid w:val="00124A65"/>
    <w:rsid w:val="00201FBA"/>
    <w:rsid w:val="002249DF"/>
    <w:rsid w:val="0028474A"/>
    <w:rsid w:val="002879D9"/>
    <w:rsid w:val="00302E43"/>
    <w:rsid w:val="003317AF"/>
    <w:rsid w:val="003D57CF"/>
    <w:rsid w:val="003D7CEE"/>
    <w:rsid w:val="004601F1"/>
    <w:rsid w:val="00465FFD"/>
    <w:rsid w:val="0049344C"/>
    <w:rsid w:val="00496D4B"/>
    <w:rsid w:val="00522D74"/>
    <w:rsid w:val="00526C03"/>
    <w:rsid w:val="00540746"/>
    <w:rsid w:val="00594D11"/>
    <w:rsid w:val="005A3375"/>
    <w:rsid w:val="005F3C54"/>
    <w:rsid w:val="0062487C"/>
    <w:rsid w:val="006631AD"/>
    <w:rsid w:val="006B0A83"/>
    <w:rsid w:val="006B3842"/>
    <w:rsid w:val="006C2B45"/>
    <w:rsid w:val="006E436F"/>
    <w:rsid w:val="00720D91"/>
    <w:rsid w:val="0072197D"/>
    <w:rsid w:val="007354FC"/>
    <w:rsid w:val="00792BEB"/>
    <w:rsid w:val="007D59C8"/>
    <w:rsid w:val="007E53AC"/>
    <w:rsid w:val="0080734B"/>
    <w:rsid w:val="008112FD"/>
    <w:rsid w:val="008342E7"/>
    <w:rsid w:val="009001C3"/>
    <w:rsid w:val="00905FF9"/>
    <w:rsid w:val="009166DC"/>
    <w:rsid w:val="009879C9"/>
    <w:rsid w:val="009D613E"/>
    <w:rsid w:val="009F0EBB"/>
    <w:rsid w:val="00A57C22"/>
    <w:rsid w:val="00A66B5D"/>
    <w:rsid w:val="00AE23C2"/>
    <w:rsid w:val="00B249A2"/>
    <w:rsid w:val="00B336F9"/>
    <w:rsid w:val="00BA0963"/>
    <w:rsid w:val="00BB3A5A"/>
    <w:rsid w:val="00C13068"/>
    <w:rsid w:val="00C91A5B"/>
    <w:rsid w:val="00CB4177"/>
    <w:rsid w:val="00D379E0"/>
    <w:rsid w:val="00D37C6C"/>
    <w:rsid w:val="00D6350E"/>
    <w:rsid w:val="00DA1749"/>
    <w:rsid w:val="00DD7B1F"/>
    <w:rsid w:val="00E07DD4"/>
    <w:rsid w:val="00E10C9D"/>
    <w:rsid w:val="00E64C06"/>
    <w:rsid w:val="00EB6E12"/>
    <w:rsid w:val="00EE7B7D"/>
    <w:rsid w:val="00F218D5"/>
    <w:rsid w:val="00F35986"/>
    <w:rsid w:val="27302AB7"/>
    <w:rsid w:val="3710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2"/>
    <w:semiHidden/>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5"/>
    <w:basedOn w:val="1"/>
    <w:next w:val="1"/>
    <w:link w:val="23"/>
    <w:semiHidden/>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Indent"/>
    <w:basedOn w:val="1"/>
    <w:link w:val="15"/>
    <w:qFormat/>
    <w:uiPriority w:val="0"/>
    <w:pPr>
      <w:ind w:firstLine="570"/>
    </w:pPr>
    <w:rPr>
      <w:rFonts w:ascii="仿宋_GB2312" w:eastAsia="仿宋_GB2312"/>
      <w:sz w:val="2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iPriority w:val="99"/>
    <w:pPr>
      <w:snapToGrid w:val="0"/>
      <w:jc w:val="left"/>
    </w:pPr>
    <w:rPr>
      <w:rFonts w:ascii="Times New Roman" w:hAnsi="Times New Roman" w:eastAsia="宋体" w:cs="Times New Roman"/>
      <w:sz w:val="18"/>
      <w:szCs w:val="18"/>
    </w:rPr>
  </w:style>
  <w:style w:type="paragraph" w:customStyle="1" w:styleId="10">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11">
    <w:name w:val="标题 3 Char"/>
    <w:basedOn w:val="9"/>
    <w:semiHidden/>
    <w:qFormat/>
    <w:uiPriority w:val="9"/>
    <w:rPr>
      <w:b/>
      <w:bCs/>
      <w:sz w:val="32"/>
      <w:szCs w:val="32"/>
    </w:rPr>
  </w:style>
  <w:style w:type="character" w:customStyle="1" w:styleId="12">
    <w:name w:val="标题 5 Char"/>
    <w:basedOn w:val="9"/>
    <w:semiHidden/>
    <w:qFormat/>
    <w:uiPriority w:val="9"/>
    <w:rPr>
      <w:b/>
      <w:bCs/>
      <w:sz w:val="28"/>
      <w:szCs w:val="28"/>
    </w:rPr>
  </w:style>
  <w:style w:type="character" w:customStyle="1" w:styleId="13">
    <w:name w:val="段 Char"/>
    <w:link w:val="14"/>
    <w:uiPriority w:val="0"/>
    <w:rPr>
      <w:rFonts w:ascii="宋体"/>
    </w:rPr>
  </w:style>
  <w:style w:type="paragraph" w:customStyle="1" w:styleId="14">
    <w:name w:val="段"/>
    <w:link w:val="13"/>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5">
    <w:name w:val="正文文本缩进 Char1"/>
    <w:link w:val="5"/>
    <w:qFormat/>
    <w:uiPriority w:val="0"/>
    <w:rPr>
      <w:rFonts w:ascii="仿宋_GB2312" w:eastAsia="仿宋_GB2312"/>
      <w:sz w:val="28"/>
    </w:rPr>
  </w:style>
  <w:style w:type="character" w:customStyle="1" w:styleId="16">
    <w:name w:val="2级标题 Char"/>
    <w:link w:val="17"/>
    <w:uiPriority w:val="0"/>
    <w:rPr>
      <w:rFonts w:eastAsia="仿宋_GB2312"/>
      <w:b/>
      <w:bCs/>
      <w:sz w:val="24"/>
      <w:szCs w:val="24"/>
    </w:rPr>
  </w:style>
  <w:style w:type="paragraph" w:customStyle="1" w:styleId="17">
    <w:name w:val="2级标题"/>
    <w:basedOn w:val="1"/>
    <w:link w:val="16"/>
    <w:qFormat/>
    <w:uiPriority w:val="0"/>
    <w:pPr>
      <w:keepNext/>
      <w:keepLines/>
      <w:adjustRightInd w:val="0"/>
      <w:snapToGrid w:val="0"/>
      <w:spacing w:line="360" w:lineRule="auto"/>
      <w:outlineLvl w:val="1"/>
    </w:pPr>
    <w:rPr>
      <w:rFonts w:eastAsia="仿宋_GB2312"/>
      <w:b/>
      <w:bCs/>
      <w:sz w:val="24"/>
      <w:szCs w:val="24"/>
    </w:rPr>
  </w:style>
  <w:style w:type="character" w:customStyle="1" w:styleId="18">
    <w:name w:val="正文文本缩进 Char"/>
    <w:basedOn w:val="9"/>
    <w:semiHidden/>
    <w:qFormat/>
    <w:uiPriority w:val="99"/>
  </w:style>
  <w:style w:type="paragraph" w:customStyle="1" w:styleId="19">
    <w:name w:val="正文表标题"/>
    <w:next w:val="14"/>
    <w:qFormat/>
    <w:uiPriority w:val="0"/>
    <w:pPr>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20">
    <w:name w:val="列项——（一级）"/>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21">
    <w:name w:val="列出段落1"/>
    <w:basedOn w:val="1"/>
    <w:qFormat/>
    <w:uiPriority w:val="34"/>
    <w:pPr>
      <w:ind w:firstLine="420" w:firstLineChars="200"/>
    </w:pPr>
    <w:rPr>
      <w:rFonts w:ascii="Times New Roman" w:hAnsi="Times New Roman" w:eastAsia="宋体" w:cs="Times New Roman"/>
      <w:szCs w:val="24"/>
    </w:rPr>
  </w:style>
  <w:style w:type="character" w:customStyle="1" w:styleId="22">
    <w:name w:val="标题 3 Char1"/>
    <w:link w:val="2"/>
    <w:semiHidden/>
    <w:qFormat/>
    <w:uiPriority w:val="0"/>
    <w:rPr>
      <w:rFonts w:ascii="Times New Roman" w:hAnsi="Times New Roman" w:eastAsia="宋体" w:cs="Times New Roman"/>
      <w:b/>
      <w:bCs/>
      <w:sz w:val="32"/>
      <w:szCs w:val="32"/>
    </w:rPr>
  </w:style>
  <w:style w:type="character" w:customStyle="1" w:styleId="23">
    <w:name w:val="标题 5 Char1"/>
    <w:link w:val="3"/>
    <w:semiHidden/>
    <w:qFormat/>
    <w:uiPriority w:val="0"/>
    <w:rPr>
      <w:rFonts w:ascii="Times New Roman" w:hAnsi="Times New Roman" w:eastAsia="宋体" w:cs="Times New Roman"/>
      <w:b/>
      <w:bCs/>
      <w:sz w:val="28"/>
      <w:szCs w:val="28"/>
    </w:rPr>
  </w:style>
  <w:style w:type="character" w:customStyle="1" w:styleId="24">
    <w:name w:val="页眉 Char"/>
    <w:basedOn w:val="9"/>
    <w:link w:val="7"/>
    <w:qFormat/>
    <w:uiPriority w:val="99"/>
    <w:rPr>
      <w:rFonts w:ascii="Times New Roman" w:hAnsi="Times New Roman" w:eastAsia="宋体" w:cs="Times New Roman"/>
      <w:sz w:val="18"/>
      <w:szCs w:val="18"/>
    </w:rPr>
  </w:style>
  <w:style w:type="character" w:customStyle="1" w:styleId="25">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1026</Words>
  <Characters>5853</Characters>
  <Lines>48</Lines>
  <Paragraphs>13</Paragraphs>
  <TotalTime>22</TotalTime>
  <ScaleCrop>false</ScaleCrop>
  <LinksUpToDate>false</LinksUpToDate>
  <CharactersWithSpaces>6866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2020-02-17T08:41:00Z</dcterms:created>
  <dc:creator>lvzeyu</dc:creator>
  <cp:lastModifiedBy>Administrator</cp:lastModifiedBy>
  <dcterms:modified xsi:type="dcterms:W3CDTF">2020-03-09T06:58:52Z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